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8CAB" w14:textId="77777777" w:rsidR="0026341F" w:rsidRPr="00860638" w:rsidRDefault="0026341F" w:rsidP="0026341F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42FB451A" w14:textId="513E5DC3" w:rsidR="0026341F" w:rsidRDefault="00C11506" w:rsidP="0026341F">
      <w:pPr>
        <w:spacing w:after="100" w:afterAutospacing="1"/>
        <w:jc w:val="center"/>
        <w:rPr>
          <w:b/>
        </w:rPr>
      </w:pPr>
      <w:r>
        <w:rPr>
          <w:b/>
        </w:rPr>
        <w:t>2</w:t>
      </w:r>
      <w:r w:rsidRPr="00C11506">
        <w:rPr>
          <w:b/>
          <w:vertAlign w:val="superscript"/>
        </w:rPr>
        <w:t>nd</w:t>
      </w:r>
      <w:r>
        <w:rPr>
          <w:b/>
        </w:rPr>
        <w:t xml:space="preserve"> </w:t>
      </w:r>
      <w:r w:rsidR="0026341F">
        <w:rPr>
          <w:b/>
        </w:rPr>
        <w:t>Quarter of 20</w:t>
      </w:r>
      <w:r w:rsidR="00E17B05">
        <w:rPr>
          <w:b/>
        </w:rPr>
        <w:t>2</w:t>
      </w:r>
      <w:r w:rsidR="0090301F">
        <w:rPr>
          <w:b/>
        </w:rPr>
        <w:t>2</w:t>
      </w:r>
    </w:p>
    <w:p w14:paraId="445A0FCC" w14:textId="77777777" w:rsidR="00C11506" w:rsidRPr="00C93D16" w:rsidRDefault="00C11506" w:rsidP="00C11506">
      <w:bookmarkStart w:id="0" w:name="_Hlk109738990"/>
      <w:r w:rsidRPr="00C93D16">
        <w:rPr>
          <w:b/>
        </w:rPr>
        <w:t>Quality</w:t>
      </w:r>
    </w:p>
    <w:p w14:paraId="4E1CDB34" w14:textId="77777777" w:rsidR="00C11506" w:rsidRPr="00C93D16" w:rsidRDefault="00C11506" w:rsidP="00C11506">
      <w:r>
        <w:rPr>
          <w:noProof/>
        </w:rPr>
        <w:drawing>
          <wp:inline distT="0" distB="0" distL="0" distR="0" wp14:anchorId="4F0843C3" wp14:editId="0B1C7466">
            <wp:extent cx="6692900" cy="3340100"/>
            <wp:effectExtent l="0" t="0" r="12700" b="12700"/>
            <wp:docPr id="15" name="Chart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412286A" w14:textId="77777777" w:rsidR="00C11506" w:rsidRPr="00C93D16" w:rsidRDefault="00C11506" w:rsidP="00C11506">
      <w:r w:rsidRPr="00C93D16">
        <w:t xml:space="preserve">In the </w:t>
      </w:r>
      <w:r>
        <w:t>2</w:t>
      </w:r>
      <w:r w:rsidRPr="000217E7">
        <w:rPr>
          <w:vertAlign w:val="superscript"/>
        </w:rPr>
        <w:t>nd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</w:t>
      </w:r>
      <w:r>
        <w:t>66</w:t>
      </w:r>
      <w:r w:rsidRPr="00C93D16">
        <w:t xml:space="preserve">% of the nonmonetary determinations sampled and reviewed for quality passed </w:t>
      </w:r>
      <w:r>
        <w:t xml:space="preserve">validation </w:t>
      </w:r>
      <w:r w:rsidRPr="00C93D16">
        <w:t xml:space="preserve">with 95 or more points out of 100, and </w:t>
      </w:r>
      <w:r>
        <w:t>26.4</w:t>
      </w:r>
      <w:r w:rsidRPr="00C93D16">
        <w:t xml:space="preserve">% failed </w:t>
      </w:r>
      <w:r>
        <w:t>to meet that standard</w:t>
      </w:r>
      <w:r w:rsidRPr="00C93D16">
        <w:t>.</w:t>
      </w:r>
    </w:p>
    <w:p w14:paraId="07A55223" w14:textId="77777777" w:rsidR="00C11506" w:rsidRPr="00C93D16" w:rsidRDefault="00C11506" w:rsidP="00C11506">
      <w:r>
        <w:rPr>
          <w:noProof/>
        </w:rPr>
        <w:drawing>
          <wp:inline distT="0" distB="0" distL="0" distR="0" wp14:anchorId="5DAA1763" wp14:editId="577457D3">
            <wp:extent cx="6705600" cy="3460750"/>
            <wp:effectExtent l="0" t="0" r="0" b="6350"/>
            <wp:docPr id="16" name="Chart 1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C4CC435" w14:textId="77777777" w:rsidR="00C11506" w:rsidRPr="00C93D16" w:rsidRDefault="00C11506" w:rsidP="00C11506">
      <w:r w:rsidRPr="00C93D16">
        <w:t xml:space="preserve">In the </w:t>
      </w:r>
      <w:r>
        <w:t>2</w:t>
      </w:r>
      <w:r w:rsidRPr="00804914">
        <w:rPr>
          <w:vertAlign w:val="superscript"/>
        </w:rPr>
        <w:t>nd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of claimant information was adequate for </w:t>
      </w:r>
      <w:r>
        <w:t>77.4</w:t>
      </w:r>
      <w:r w:rsidRPr="00C93D16">
        <w:t>% of the nonmonetary determinations sampled and reviewed.</w:t>
      </w:r>
    </w:p>
    <w:p w14:paraId="581007A2" w14:textId="77777777" w:rsidR="00C11506" w:rsidRPr="00C93D16" w:rsidRDefault="00C11506" w:rsidP="00C11506">
      <w:r>
        <w:rPr>
          <w:noProof/>
        </w:rPr>
        <w:lastRenderedPageBreak/>
        <w:drawing>
          <wp:inline distT="0" distB="0" distL="0" distR="0" wp14:anchorId="5A5608FE" wp14:editId="31A3E585">
            <wp:extent cx="6692900" cy="3784600"/>
            <wp:effectExtent l="0" t="0" r="12700" b="6350"/>
            <wp:docPr id="21" name="Chart 2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A01BEB8" w14:textId="77777777" w:rsidR="00C11506" w:rsidRPr="00C93D16" w:rsidRDefault="00C11506" w:rsidP="00C11506">
      <w:r w:rsidRPr="00C93D16">
        <w:t xml:space="preserve">In the </w:t>
      </w:r>
      <w:r>
        <w:t>2</w:t>
      </w:r>
      <w:r w:rsidRPr="00032E14">
        <w:rPr>
          <w:vertAlign w:val="superscript"/>
        </w:rPr>
        <w:t>nd</w:t>
      </w:r>
      <w:r>
        <w:t xml:space="preserve"> quarter </w:t>
      </w:r>
      <w:r w:rsidRPr="00C93D16">
        <w:t>of 20</w:t>
      </w:r>
      <w:r>
        <w:t>22</w:t>
      </w:r>
      <w:r w:rsidRPr="00C93D16">
        <w:t xml:space="preserve">, the quality of the employer information was adequate for </w:t>
      </w:r>
      <w:r>
        <w:t>48.6</w:t>
      </w:r>
      <w:r w:rsidRPr="00C93D16">
        <w:t>% of the nonmonetary determinations sampled and reviewed.</w:t>
      </w:r>
    </w:p>
    <w:p w14:paraId="2FFE9620" w14:textId="77777777" w:rsidR="00C11506" w:rsidRPr="00C93D16" w:rsidRDefault="00C11506" w:rsidP="00C11506">
      <w:r>
        <w:rPr>
          <w:noProof/>
        </w:rPr>
        <w:drawing>
          <wp:inline distT="0" distB="0" distL="0" distR="0" wp14:anchorId="77A8F2B5" wp14:editId="27741054">
            <wp:extent cx="6667500" cy="3867150"/>
            <wp:effectExtent l="0" t="0" r="0" b="0"/>
            <wp:docPr id="22" name="Chart 2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4D21813" w14:textId="77777777" w:rsidR="00C11506" w:rsidRPr="00C93D16" w:rsidRDefault="00C11506" w:rsidP="00C11506">
      <w:r w:rsidRPr="00C93D16">
        <w:t xml:space="preserve">In the </w:t>
      </w:r>
      <w:r>
        <w:t>2</w:t>
      </w:r>
      <w:r w:rsidRPr="008B0D5E">
        <w:rPr>
          <w:vertAlign w:val="superscript"/>
        </w:rPr>
        <w:t>nd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of the information and facts obtained from others (for example labor unions, private employment agencies, employer representatives) was adequate for </w:t>
      </w:r>
      <w:r>
        <w:t>6.6</w:t>
      </w:r>
      <w:r w:rsidRPr="00C93D16">
        <w:t>% of the nonmonetary determinations sampled and reviewed.</w:t>
      </w:r>
    </w:p>
    <w:p w14:paraId="1AF27190" w14:textId="77777777" w:rsidR="00C11506" w:rsidRPr="00C93D16" w:rsidRDefault="00C11506" w:rsidP="00C11506">
      <w:r>
        <w:rPr>
          <w:noProof/>
        </w:rPr>
        <w:lastRenderedPageBreak/>
        <w:drawing>
          <wp:inline distT="0" distB="0" distL="0" distR="0" wp14:anchorId="2AA322AF" wp14:editId="4F7667F1">
            <wp:extent cx="6819900" cy="3384550"/>
            <wp:effectExtent l="0" t="0" r="0" b="6350"/>
            <wp:docPr id="23" name="Chart 2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1FB60ED" w14:textId="77777777" w:rsidR="00C11506" w:rsidRPr="00C93D16" w:rsidRDefault="00C11506" w:rsidP="00C11506">
      <w:r w:rsidRPr="00C93D16">
        <w:t xml:space="preserve">In the </w:t>
      </w:r>
      <w:r>
        <w:t>2</w:t>
      </w:r>
      <w:r w:rsidRPr="008B0D5E">
        <w:rPr>
          <w:vertAlign w:val="superscript"/>
        </w:rPr>
        <w:t>nd</w:t>
      </w:r>
      <w:r>
        <w:t xml:space="preserve"> </w:t>
      </w:r>
      <w:r w:rsidRPr="00C93D16">
        <w:t>quarter of 20</w:t>
      </w:r>
      <w:r>
        <w:t>22</w:t>
      </w:r>
      <w:r w:rsidRPr="00C93D16">
        <w:t xml:space="preserve">, the quality reviews concluded that </w:t>
      </w:r>
      <w:r>
        <w:t>66</w:t>
      </w:r>
      <w:r w:rsidRPr="00C93D16">
        <w:t xml:space="preserve">% of the nonmonetary determinations sampled met the standards for the application of law and policy.  A nonmonetary determination meets the standard if “all relevant and critical facts were </w:t>
      </w:r>
      <w:proofErr w:type="gramStart"/>
      <w:r w:rsidRPr="00C93D16">
        <w:t>obtained</w:t>
      </w:r>
      <w:proofErr w:type="gramEnd"/>
      <w:r w:rsidRPr="00C93D16">
        <w:t xml:space="preserve"> or a reasonable attempt was made to obtain them and the nonmonetary determination is clearly correct.” (ET Handbook 301, </w:t>
      </w:r>
      <w:r w:rsidRPr="00C93D16">
        <w:rPr>
          <w:i/>
        </w:rPr>
        <w:t>UI Performs: Benefits Timeliness and Quality Nonmonetary Determinations Quality Review)</w:t>
      </w:r>
    </w:p>
    <w:p w14:paraId="03C2461C" w14:textId="77777777" w:rsidR="00C11506" w:rsidRDefault="00C11506" w:rsidP="00C11506">
      <w:r>
        <w:rPr>
          <w:noProof/>
        </w:rPr>
        <w:drawing>
          <wp:inline distT="0" distB="0" distL="0" distR="0" wp14:anchorId="0C7E76A0" wp14:editId="6610CD4D">
            <wp:extent cx="6705600" cy="3384550"/>
            <wp:effectExtent l="0" t="0" r="0" b="6350"/>
            <wp:docPr id="24" name="Chart 2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br w:type="textWrapping" w:clear="all"/>
      </w:r>
      <w:r w:rsidRPr="00C93D16">
        <w:t xml:space="preserve">In the </w:t>
      </w:r>
      <w:r>
        <w:t xml:space="preserve">1st </w:t>
      </w:r>
      <w:r w:rsidRPr="00C93D16">
        <w:t>quarter of 20</w:t>
      </w:r>
      <w:r>
        <w:t>22</w:t>
      </w:r>
      <w:r w:rsidRPr="00C93D16">
        <w:t xml:space="preserve">, the quality of the written determination was adequate for </w:t>
      </w:r>
      <w:r>
        <w:t>70.3</w:t>
      </w:r>
      <w:r w:rsidRPr="00C93D16">
        <w:t>% of the nonmonetary determinations sampled and reviewed.</w:t>
      </w:r>
      <w:bookmarkEnd w:id="0"/>
    </w:p>
    <w:p w14:paraId="476BEE15" w14:textId="77777777" w:rsidR="00C11506" w:rsidRDefault="00C11506" w:rsidP="00CA556A">
      <w:pPr>
        <w:rPr>
          <w:i/>
          <w:sz w:val="20"/>
          <w:szCs w:val="20"/>
        </w:rPr>
      </w:pPr>
    </w:p>
    <w:p w14:paraId="200895F6" w14:textId="2ED0A589" w:rsidR="00CA556A" w:rsidRPr="00860638" w:rsidRDefault="00CA556A" w:rsidP="00CA556A">
      <w:pPr>
        <w:rPr>
          <w:b/>
        </w:rPr>
      </w:pPr>
      <w:r w:rsidRPr="006C7B31">
        <w:rPr>
          <w:i/>
          <w:sz w:val="20"/>
          <w:szCs w:val="20"/>
        </w:rPr>
        <w:t xml:space="preserve">This report was produced on </w:t>
      </w:r>
      <w:r w:rsidR="00A01035">
        <w:rPr>
          <w:i/>
          <w:sz w:val="20"/>
          <w:szCs w:val="20"/>
        </w:rPr>
        <w:t>9</w:t>
      </w:r>
      <w:r>
        <w:rPr>
          <w:i/>
          <w:sz w:val="20"/>
          <w:szCs w:val="20"/>
        </w:rPr>
        <w:t>/</w:t>
      </w:r>
      <w:r w:rsidR="00A01035">
        <w:rPr>
          <w:i/>
          <w:sz w:val="20"/>
          <w:szCs w:val="20"/>
        </w:rPr>
        <w:t>8</w:t>
      </w:r>
      <w:r>
        <w:rPr>
          <w:i/>
          <w:sz w:val="20"/>
          <w:szCs w:val="20"/>
        </w:rPr>
        <w:t>/20</w:t>
      </w:r>
      <w:r w:rsidR="00402EAE">
        <w:rPr>
          <w:i/>
          <w:sz w:val="20"/>
          <w:szCs w:val="20"/>
        </w:rPr>
        <w:t>2</w:t>
      </w:r>
      <w:r w:rsidR="00BB4272">
        <w:rPr>
          <w:i/>
          <w:sz w:val="20"/>
          <w:szCs w:val="20"/>
        </w:rPr>
        <w:t>2</w:t>
      </w:r>
      <w:r>
        <w:rPr>
          <w:i/>
          <w:sz w:val="20"/>
          <w:szCs w:val="20"/>
        </w:rPr>
        <w:t xml:space="preserve"> </w:t>
      </w:r>
      <w:r w:rsidRPr="006C7B31">
        <w:rPr>
          <w:i/>
          <w:sz w:val="20"/>
          <w:szCs w:val="20"/>
        </w:rPr>
        <w:t>by the Office of Unemployment Insurance, Division of Performance Management.</w:t>
      </w:r>
    </w:p>
    <w:sectPr w:rsidR="00CA556A" w:rsidRPr="00860638" w:rsidSect="002634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41F"/>
    <w:rsid w:val="000009B1"/>
    <w:rsid w:val="00047A4B"/>
    <w:rsid w:val="000E541B"/>
    <w:rsid w:val="00100849"/>
    <w:rsid w:val="001102F0"/>
    <w:rsid w:val="0026341F"/>
    <w:rsid w:val="00313C7B"/>
    <w:rsid w:val="0036422A"/>
    <w:rsid w:val="00364CAB"/>
    <w:rsid w:val="00397A4F"/>
    <w:rsid w:val="003C316C"/>
    <w:rsid w:val="003F54FE"/>
    <w:rsid w:val="00402EAE"/>
    <w:rsid w:val="0043385E"/>
    <w:rsid w:val="004A7EBD"/>
    <w:rsid w:val="004E0E2A"/>
    <w:rsid w:val="00555966"/>
    <w:rsid w:val="00591CE7"/>
    <w:rsid w:val="005A609F"/>
    <w:rsid w:val="005E3484"/>
    <w:rsid w:val="00603DED"/>
    <w:rsid w:val="006B4C41"/>
    <w:rsid w:val="006C609F"/>
    <w:rsid w:val="006F5443"/>
    <w:rsid w:val="007200A0"/>
    <w:rsid w:val="00753369"/>
    <w:rsid w:val="00787A34"/>
    <w:rsid w:val="007922B8"/>
    <w:rsid w:val="00815B2C"/>
    <w:rsid w:val="008A22B4"/>
    <w:rsid w:val="008D3F96"/>
    <w:rsid w:val="008E535B"/>
    <w:rsid w:val="008F6C0A"/>
    <w:rsid w:val="0090301F"/>
    <w:rsid w:val="009258F7"/>
    <w:rsid w:val="00925B95"/>
    <w:rsid w:val="00940B0B"/>
    <w:rsid w:val="00984414"/>
    <w:rsid w:val="00A01035"/>
    <w:rsid w:val="00A347EC"/>
    <w:rsid w:val="00A37A21"/>
    <w:rsid w:val="00A41DF4"/>
    <w:rsid w:val="00AB162F"/>
    <w:rsid w:val="00B067A4"/>
    <w:rsid w:val="00B421ED"/>
    <w:rsid w:val="00B62711"/>
    <w:rsid w:val="00B73F96"/>
    <w:rsid w:val="00BB4272"/>
    <w:rsid w:val="00BC6E4E"/>
    <w:rsid w:val="00C11506"/>
    <w:rsid w:val="00CA556A"/>
    <w:rsid w:val="00CD099D"/>
    <w:rsid w:val="00CD24AD"/>
    <w:rsid w:val="00D06AF9"/>
    <w:rsid w:val="00D23956"/>
    <w:rsid w:val="00D701CA"/>
    <w:rsid w:val="00E17B05"/>
    <w:rsid w:val="00E46331"/>
    <w:rsid w:val="00E63D72"/>
    <w:rsid w:val="00E6622D"/>
    <w:rsid w:val="00F91186"/>
    <w:rsid w:val="00FC2304"/>
    <w:rsid w:val="00FD2BFA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080CC"/>
  <w15:docId w15:val="{06CE15C2-F2E3-4775-9D9D-501A7EEDB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41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341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341F"/>
    <w:rPr>
      <w:rFonts w:ascii="Tahoma" w:eastAsiaTheme="minorEastAsi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911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theme" Target="theme/theme1.xml"/><Relationship Id="rId5" Type="http://schemas.openxmlformats.org/officeDocument/2006/relationships/chart" Target="charts/chart2.xml"/><Relationship Id="rId10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Quality Scores</a:t>
            </a:r>
          </a:p>
          <a:p>
            <a:pPr>
              <a:defRPr sz="1400"/>
            </a:pPr>
            <a:r>
              <a:rPr lang="en-US" sz="1400"/>
              <a:t>2nd Quarter 2022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Quality_ar9056!$B$2</c:f>
              <c:strCache>
                <c:ptCount val="1"/>
                <c:pt idx="0">
                  <c:v>UI Determinations Quality Scores</c:v>
                </c:pt>
              </c:strCache>
            </c:strRef>
          </c:tx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0-37D7-448F-A3A6-863D49B0A8B4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66.0%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37D7-448F-A3A6-863D49B0A8B4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26.4%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37D7-448F-A3A6-863D49B0A8B4}"/>
                </c:ext>
              </c:extLst>
            </c:dLbl>
            <c:dLbl>
              <c:idx val="2"/>
              <c:layout>
                <c:manualLayout>
                  <c:x val="4.0721767018635474E-2"/>
                  <c:y val="0.12210117080074888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7D7-448F-A3A6-863D49B0A8B4}"/>
                </c:ext>
              </c:extLst>
            </c:dLbl>
            <c:dLbl>
              <c:idx val="3"/>
              <c:layout>
                <c:manualLayout>
                  <c:x val="-7.6642549498756878E-4"/>
                  <c:y val="2.443533172214855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7D7-448F-A3A6-863D49B0A8B4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Quality_ar9056!$B$5:$B$7</c:f>
              <c:strCache>
                <c:ptCount val="3"/>
                <c:pt idx="0">
                  <c:v>≥ 95 points</c:v>
                </c:pt>
                <c:pt idx="1">
                  <c:v>&lt; 95 points</c:v>
                </c:pt>
                <c:pt idx="2">
                  <c:v>Cases not Reviewed</c:v>
                </c:pt>
              </c:strCache>
            </c:strRef>
          </c:cat>
          <c:val>
            <c:numRef>
              <c:f>Quality_ar9056!$C$5:$C$7</c:f>
              <c:numCache>
                <c:formatCode>0.0%</c:formatCode>
                <c:ptCount val="3"/>
                <c:pt idx="0">
                  <c:v>0.66</c:v>
                </c:pt>
                <c:pt idx="1">
                  <c:v>0.26400000000000001</c:v>
                </c:pt>
                <c:pt idx="2">
                  <c:v>7.5999999999999998E-2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7D7-448F-A3A6-863D49B0A8B4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Claimant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2nd Quarter 2022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Quality_ar9056!$B$21</c:f>
              <c:strCache>
                <c:ptCount val="1"/>
                <c:pt idx="0">
                  <c:v>claimant information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77.4%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AD15-4572-8DCE-0B56F65FB41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12.6%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D15-4572-8DCE-0B56F65FB417}"/>
                </c:ext>
              </c:extLst>
            </c:dLbl>
            <c:dLbl>
              <c:idx val="2"/>
              <c:layout>
                <c:manualLayout>
                  <c:x val="-6.7669947506561676E-2"/>
                  <c:y val="1.840952172645085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AD15-4572-8DCE-0B56F65FB417}"/>
                </c:ext>
              </c:extLst>
            </c:dLbl>
            <c:dLbl>
              <c:idx val="3"/>
              <c:layout>
                <c:manualLayout>
                  <c:x val="4.053926381293961E-2"/>
                  <c:y val="0.1115888670912722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D15-4572-8DCE-0B56F65FB417}"/>
                </c:ext>
              </c:extLst>
            </c:dLbl>
            <c:dLbl>
              <c:idx val="4"/>
              <c:layout>
                <c:manualLayout>
                  <c:x val="9.7667722453954955E-3"/>
                  <c:y val="1.65145396429406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AD15-4572-8DCE-0B56F65FB417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Quality_ar9056!$B$23:$B$26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Quality_ar9056!$C$23:$C$26</c:f>
              <c:numCache>
                <c:formatCode>0.0%</c:formatCode>
                <c:ptCount val="4"/>
                <c:pt idx="0">
                  <c:v>0.77400000000000002</c:v>
                </c:pt>
                <c:pt idx="1">
                  <c:v>0.126</c:v>
                </c:pt>
                <c:pt idx="2">
                  <c:v>2.4E-2</c:v>
                </c:pt>
                <c:pt idx="3">
                  <c:v>7.5999999999999998E-2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D15-4572-8DCE-0B56F65FB417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Employer Information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2nd Quarter 2022</a:t>
            </a:r>
            <a:endParaRPr lang="en-US" sz="1400">
              <a:effectLst/>
            </a:endParaRP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Quality_ar9056!$B$39</c:f>
              <c:strCache>
                <c:ptCount val="1"/>
                <c:pt idx="0">
                  <c:v>employer information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48.6%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6558-48F0-A621-61682880404B}"/>
                </c:ext>
              </c:extLst>
            </c:dLbl>
            <c:dLbl>
              <c:idx val="1"/>
              <c:layout>
                <c:manualLayout>
                  <c:x val="4.2039391302502283E-2"/>
                  <c:y val="-9.79326214360193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10.0%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558-48F0-A621-61682880404B}"/>
                </c:ext>
              </c:extLst>
            </c:dLbl>
            <c:dLbl>
              <c:idx val="2"/>
              <c:layout>
                <c:manualLayout>
                  <c:x val="-4.2669947506561695E-2"/>
                  <c:y val="9.150262467191600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2.7%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6558-48F0-A621-61682880404B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31.1%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6558-48F0-A621-61682880404B}"/>
                </c:ext>
              </c:extLst>
            </c:dLbl>
            <c:dLbl>
              <c:idx val="4"/>
              <c:layout>
                <c:manualLayout>
                  <c:x val="5.6785772832794824E-2"/>
                  <c:y val="9.555618047744031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6558-48F0-A621-61682880404B}"/>
                </c:ext>
              </c:extLst>
            </c:dLbl>
            <c:dLbl>
              <c:idx val="5"/>
              <c:layout>
                <c:manualLayout>
                  <c:x val="7.0786819881228256E-3"/>
                  <c:y val="5.640857392825860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6558-48F0-A621-61682880404B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Quality_ar9056!$B$41:$B$45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Quality_ar9056!$C$41:$C$45</c:f>
              <c:numCache>
                <c:formatCode>0.0%</c:formatCode>
                <c:ptCount val="5"/>
                <c:pt idx="0">
                  <c:v>0.48599999999999999</c:v>
                </c:pt>
                <c:pt idx="1">
                  <c:v>0.1</c:v>
                </c:pt>
                <c:pt idx="2">
                  <c:v>2.7E-2</c:v>
                </c:pt>
                <c:pt idx="3">
                  <c:v>0.311</c:v>
                </c:pt>
                <c:pt idx="4">
                  <c:v>7.5999999999999998E-2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558-48F0-A621-61682880404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787798184058423"/>
          <c:y val="0.28857299087614052"/>
          <c:w val="0.30331745133604437"/>
          <c:h val="0.59852830896137987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Information/Facts from Others in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2nd Quarter 2022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14946574883007779"/>
          <c:y val="2.100840336134454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Quality_ar9056!$B$57</c:f>
              <c:strCache>
                <c:ptCount val="1"/>
                <c:pt idx="0">
                  <c:v>Info/Fact from Others</c:v>
                </c:pt>
              </c:strCache>
            </c:strRef>
          </c:tx>
          <c:dLbls>
            <c:dLbl>
              <c:idx val="0"/>
              <c:layout>
                <c:manualLayout>
                  <c:x val="5.3353564070211204E-2"/>
                  <c:y val="7.7546113666484687E-2"/>
                </c:manualLayout>
              </c:layout>
              <c:tx>
                <c:rich>
                  <a:bodyPr/>
                  <a:lstStyle/>
                  <a:p>
                    <a:r>
                      <a:rPr lang="en-US" sz="900"/>
                      <a:t>1.4%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38E0-4360-9387-059C8305F8DF}"/>
                </c:ext>
              </c:extLst>
            </c:dLbl>
            <c:dLbl>
              <c:idx val="1"/>
              <c:layout>
                <c:manualLayout>
                  <c:x val="6.3963840219769683E-2"/>
                  <c:y val="1.1793560458408046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8E0-4360-9387-059C8305F8DF}"/>
                </c:ext>
              </c:extLst>
            </c:dLbl>
            <c:dLbl>
              <c:idx val="2"/>
              <c:layout>
                <c:manualLayout>
                  <c:x val="-8.0410623248365135E-2"/>
                  <c:y val="7.0981161484507227E-2"/>
                </c:manualLayout>
              </c:layout>
              <c:tx>
                <c:rich>
                  <a:bodyPr/>
                  <a:lstStyle/>
                  <a:p>
                    <a:pPr>
                      <a:defRPr sz="1000" b="1"/>
                    </a:pPr>
                    <a:r>
                      <a:rPr lang="en-US" sz="900"/>
                      <a:t>6.6%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8E0-4360-9387-059C8305F8DF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84.1%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8E0-4360-9387-059C8305F8DF}"/>
                </c:ext>
              </c:extLst>
            </c:dLbl>
            <c:dLbl>
              <c:idx val="4"/>
              <c:layout>
                <c:manualLayout>
                  <c:x val="4.9080193576208603E-2"/>
                  <c:y val="0.1102599204802370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38E0-4360-9387-059C8305F8DF}"/>
                </c:ext>
              </c:extLst>
            </c:dLbl>
            <c:dLbl>
              <c:idx val="5"/>
              <c:layout>
                <c:manualLayout>
                  <c:x val="1.720251500002662E-3"/>
                  <c:y val="1.80453730412410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38E0-4360-9387-059C8305F8DF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Quality_ar9056!$B$59:$B$63</c:f>
              <c:strCache>
                <c:ptCount val="5"/>
                <c:pt idx="0">
                  <c:v>Adequate</c:v>
                </c:pt>
                <c:pt idx="1">
                  <c:v>Inadequate</c:v>
                </c:pt>
                <c:pt idx="2">
                  <c:v>Not Obtained</c:v>
                </c:pt>
                <c:pt idx="3">
                  <c:v>Not Applicable</c:v>
                </c:pt>
                <c:pt idx="4">
                  <c:v>Cases not Reviewed</c:v>
                </c:pt>
              </c:strCache>
            </c:strRef>
          </c:cat>
          <c:val>
            <c:numRef>
              <c:f>Quality_ar9056!$C$59:$C$63</c:f>
              <c:numCache>
                <c:formatCode>0.0%</c:formatCode>
                <c:ptCount val="5"/>
                <c:pt idx="0">
                  <c:v>6.6000000000000003E-2</c:v>
                </c:pt>
                <c:pt idx="1">
                  <c:v>3.0000000000000001E-3</c:v>
                </c:pt>
                <c:pt idx="2">
                  <c:v>1.4E-2</c:v>
                </c:pt>
                <c:pt idx="3">
                  <c:v>0.84099999999999997</c:v>
                </c:pt>
                <c:pt idx="4">
                  <c:v>7.5999999999999998E-2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38E0-4360-9387-059C8305F8D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7840454020326568"/>
          <c:y val="0.25334809386450452"/>
          <c:w val="0.30536827926935095"/>
          <c:h val="0.59734310438917904"/>
        </c:manualLayout>
      </c:layout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Quality of Law/Policy in Determinations</a:t>
            </a:r>
          </a:p>
          <a:p>
            <a:pPr>
              <a:defRPr sz="1400"/>
            </a:pPr>
            <a:r>
              <a:rPr lang="en-US" sz="1400"/>
              <a:t>2nd Quarter 2022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Quality_ar9056!$B$75</c:f>
              <c:strCache>
                <c:ptCount val="1"/>
                <c:pt idx="0">
                  <c:v>Law/Policy</c:v>
                </c:pt>
              </c:strCache>
            </c:strRef>
          </c:tx>
          <c:dLbls>
            <c:dLbl>
              <c:idx val="0"/>
              <c:layout>
                <c:manualLayout>
                  <c:x val="-0.15574398534868744"/>
                  <c:y val="-2.87543463007718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22C-445D-B521-1C5987B5FFD1}"/>
                </c:ext>
              </c:extLst>
            </c:dLbl>
            <c:dLbl>
              <c:idx val="1"/>
              <c:layout>
                <c:manualLayout>
                  <c:x val="0.1398128124450975"/>
                  <c:y val="-1.677711078194426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22C-445D-B521-1C5987B5FFD1}"/>
                </c:ext>
              </c:extLst>
            </c:dLbl>
            <c:dLbl>
              <c:idx val="2"/>
              <c:layout>
                <c:manualLayout>
                  <c:x val="5.846189957962572E-2"/>
                  <c:y val="9.5559556761889361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22C-445D-B521-1C5987B5FFD1}"/>
                </c:ext>
              </c:extLst>
            </c:dLbl>
            <c:dLbl>
              <c:idx val="3"/>
              <c:layout>
                <c:manualLayout>
                  <c:x val="5.2925524268898384E-2"/>
                  <c:y val="9.242067513837998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7.6%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22C-445D-B521-1C5987B5FFD1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722C-445D-B521-1C5987B5FFD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Quality_ar9056!$B$77:$B$80</c:f>
              <c:strCache>
                <c:ptCount val="4"/>
                <c:pt idx="0">
                  <c:v>Meets</c:v>
                </c:pt>
                <c:pt idx="1">
                  <c:v>Questionable</c:v>
                </c:pt>
                <c:pt idx="2">
                  <c:v>Does Not Meet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Quality_ar9056!$C$77:$C$80</c:f>
              <c:numCache>
                <c:formatCode>0.0%</c:formatCode>
                <c:ptCount val="4"/>
                <c:pt idx="0">
                  <c:v>0.66</c:v>
                </c:pt>
                <c:pt idx="1">
                  <c:v>0.21299999999999999</c:v>
                </c:pt>
                <c:pt idx="2">
                  <c:v>5.0999999999999997E-2</c:v>
                </c:pt>
                <c:pt idx="3">
                  <c:v>7.5999999999999998E-2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22C-445D-B521-1C5987B5FFD1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US" sz="1400"/>
              <a:t>Quality of Written Determinations</a:t>
            </a:r>
          </a:p>
          <a:p>
            <a:pPr>
              <a:defRPr/>
            </a:pPr>
            <a:r>
              <a:rPr lang="en-US" sz="1400" b="1" i="0" baseline="0">
                <a:effectLst/>
              </a:rPr>
              <a:t>2nd Quarter 2022</a:t>
            </a:r>
            <a:endParaRPr lang="en-US" sz="1400">
              <a:effectLst/>
            </a:endParaRPr>
          </a:p>
        </c:rich>
      </c:tx>
      <c:layout>
        <c:manualLayout>
          <c:xMode val="edge"/>
          <c:yMode val="edge"/>
          <c:x val="0.20966666666666667"/>
          <c:y val="2.7777777777777776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Quality_ar9056!$B$93</c:f>
              <c:strCache>
                <c:ptCount val="1"/>
                <c:pt idx="0">
                  <c:v>Written Determination</c:v>
                </c:pt>
              </c:strCache>
            </c:strRef>
          </c:tx>
          <c:dLbls>
            <c:dLbl>
              <c:idx val="0"/>
              <c:layout>
                <c:manualLayout>
                  <c:x val="-0.1562315461074465"/>
                  <c:y val="-0.13868714430498169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72.2%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6D2A-4BDF-97B2-07D8B0B92CB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11.4</a:t>
                    </a:r>
                  </a:p>
                </c:rich>
              </c:tx>
              <c:dLblPos val="ctr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D2A-4BDF-97B2-07D8B0B92CB5}"/>
                </c:ext>
              </c:extLst>
            </c:dLbl>
            <c:dLbl>
              <c:idx val="2"/>
              <c:layout>
                <c:manualLayout>
                  <c:x val="7.7595622581075621E-2"/>
                  <c:y val="9.991597466698910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8.8%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6D2A-4BDF-97B2-07D8B0B92CB5}"/>
                </c:ext>
              </c:extLst>
            </c:dLbl>
            <c:dLbl>
              <c:idx val="3"/>
              <c:layout>
                <c:manualLayout>
                  <c:x val="5.0986253836914457E-2"/>
                  <c:y val="0.1016986016679655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7.6%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6D2A-4BDF-97B2-07D8B0B92CB5}"/>
                </c:ext>
              </c:extLst>
            </c:dLbl>
            <c:dLbl>
              <c:idx val="4"/>
              <c:layout>
                <c:manualLayout>
                  <c:x val="4.6647820138100904E-3"/>
                  <c:y val="1.651453964294067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1.3%</a:t>
                    </a:r>
                  </a:p>
                </c:rich>
              </c:tx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6D2A-4BDF-97B2-07D8B0B92CB5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Quality_ar9056!$B$95:$B$98</c:f>
              <c:strCache>
                <c:ptCount val="4"/>
                <c:pt idx="0">
                  <c:v>Adequate</c:v>
                </c:pt>
                <c:pt idx="1">
                  <c:v>Inadequate</c:v>
                </c:pt>
                <c:pt idx="2">
                  <c:v>Wrong</c:v>
                </c:pt>
                <c:pt idx="3">
                  <c:v>Cases not Reviewed</c:v>
                </c:pt>
              </c:strCache>
            </c:strRef>
          </c:cat>
          <c:val>
            <c:numRef>
              <c:f>Quality_ar9056!$C$95:$C$98</c:f>
              <c:numCache>
                <c:formatCode>0.0%</c:formatCode>
                <c:ptCount val="4"/>
                <c:pt idx="0">
                  <c:v>0.72199999999999998</c:v>
                </c:pt>
                <c:pt idx="1">
                  <c:v>0.114</c:v>
                </c:pt>
                <c:pt idx="2">
                  <c:v>8.7999999999999995E-2</c:v>
                </c:pt>
                <c:pt idx="3">
                  <c:v>7.5999999999999998E-2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6D2A-4BDF-97B2-07D8B0B92CB5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 rtl="0">
            <a:defRPr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Employment &amp; Training Administration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Valerie Rodall</dc:creator>
  <cp:lastModifiedBy>Rodall, Valerie - ETA</cp:lastModifiedBy>
  <cp:revision>3</cp:revision>
  <dcterms:created xsi:type="dcterms:W3CDTF">2022-09-07T19:06:00Z</dcterms:created>
  <dcterms:modified xsi:type="dcterms:W3CDTF">2022-09-08T15:19:00Z</dcterms:modified>
</cp:coreProperties>
</file>