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20EA4C7D" w:rsidR="002B3BB0" w:rsidRDefault="0014315D" w:rsidP="002B3BB0">
      <w:pPr>
        <w:spacing w:after="100" w:afterAutospacing="1"/>
        <w:jc w:val="center"/>
        <w:rPr>
          <w:b/>
        </w:rPr>
      </w:pPr>
      <w:r>
        <w:rPr>
          <w:b/>
        </w:rPr>
        <w:t>3</w:t>
      </w:r>
      <w:r w:rsidRPr="0014315D">
        <w:rPr>
          <w:b/>
          <w:vertAlign w:val="superscript"/>
        </w:rPr>
        <w:t>rd</w:t>
      </w:r>
      <w:r>
        <w:rPr>
          <w:b/>
        </w:rPr>
        <w:t xml:space="preserve"> </w:t>
      </w:r>
      <w:r w:rsidR="002B3BB0">
        <w:rPr>
          <w:b/>
        </w:rPr>
        <w:t>Quarter of 2022</w:t>
      </w:r>
    </w:p>
    <w:p w14:paraId="4024CA2F" w14:textId="77777777" w:rsidR="0014315D" w:rsidRPr="00C93D16" w:rsidRDefault="0014315D" w:rsidP="0014315D">
      <w:pPr>
        <w:rPr>
          <w:b/>
        </w:rPr>
      </w:pPr>
      <w:bookmarkStart w:id="0" w:name="_Hlk109738638"/>
      <w:r w:rsidRPr="00C93D16">
        <w:rPr>
          <w:b/>
        </w:rPr>
        <w:t>Timeliness</w:t>
      </w:r>
    </w:p>
    <w:p w14:paraId="5E6D3288" w14:textId="77777777" w:rsidR="0014315D" w:rsidRPr="00C93D16" w:rsidRDefault="0014315D" w:rsidP="0014315D">
      <w:r>
        <w:rPr>
          <w:noProof/>
        </w:rPr>
        <w:drawing>
          <wp:inline distT="0" distB="0" distL="0" distR="0" wp14:anchorId="76C17A56" wp14:editId="777F3704">
            <wp:extent cx="6392545" cy="4051300"/>
            <wp:effectExtent l="0" t="0" r="8255" b="6350"/>
            <wp:docPr id="17" name="Chart 1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E3873DC" w14:textId="77777777" w:rsidR="0014315D" w:rsidRPr="00C93D16" w:rsidRDefault="0014315D" w:rsidP="0014315D">
      <w:r w:rsidRPr="00C93D16">
        <w:t xml:space="preserve">In the </w:t>
      </w:r>
      <w:r>
        <w:t>3</w:t>
      </w:r>
      <w:r w:rsidRPr="00D8772D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52.8</w:t>
      </w:r>
      <w:r w:rsidRPr="00C93D16">
        <w:t xml:space="preserve">% of all nonmonetary determinations were completed in 21 days or less, with </w:t>
      </w:r>
      <w:r>
        <w:t>40.7</w:t>
      </w:r>
      <w:r w:rsidRPr="00C93D16">
        <w:t xml:space="preserve">% of the separations and </w:t>
      </w:r>
      <w:r>
        <w:t>61.7</w:t>
      </w:r>
      <w:r w:rsidRPr="00C93D16">
        <w:t>% of the non-separations completed in that time frame.</w:t>
      </w:r>
    </w:p>
    <w:bookmarkEnd w:id="0"/>
    <w:p w14:paraId="22670189" w14:textId="77777777" w:rsidR="0032145B" w:rsidRDefault="0032145B">
      <w:pPr>
        <w:rPr>
          <w:i/>
          <w:sz w:val="20"/>
          <w:szCs w:val="20"/>
        </w:rPr>
      </w:pPr>
    </w:p>
    <w:p w14:paraId="64B297A5" w14:textId="055B734E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14315D">
        <w:rPr>
          <w:i/>
          <w:sz w:val="20"/>
          <w:szCs w:val="20"/>
        </w:rPr>
        <w:t>12</w:t>
      </w:r>
      <w:r>
        <w:rPr>
          <w:i/>
          <w:sz w:val="20"/>
          <w:szCs w:val="20"/>
        </w:rPr>
        <w:t>/</w:t>
      </w:r>
      <w:r w:rsidR="0014315D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>/202</w:t>
      </w:r>
      <w:r w:rsidR="00091925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40D41"/>
    <w:rsid w:val="00091925"/>
    <w:rsid w:val="0014315D"/>
    <w:rsid w:val="001B583A"/>
    <w:rsid w:val="002B3BB0"/>
    <w:rsid w:val="0032145B"/>
    <w:rsid w:val="004272F4"/>
    <w:rsid w:val="004561DA"/>
    <w:rsid w:val="0052310C"/>
    <w:rsid w:val="00585C75"/>
    <w:rsid w:val="00594A49"/>
    <w:rsid w:val="005E0D09"/>
    <w:rsid w:val="00641C62"/>
    <w:rsid w:val="00645AE2"/>
    <w:rsid w:val="00787321"/>
    <w:rsid w:val="007E3D0E"/>
    <w:rsid w:val="00845F06"/>
    <w:rsid w:val="00903824"/>
    <w:rsid w:val="00987E3F"/>
    <w:rsid w:val="00DE4CF0"/>
    <w:rsid w:val="00EC37FD"/>
    <w:rsid w:val="00EC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Time Lapse</a:t>
            </a:r>
          </a:p>
          <a:p>
            <a:pPr>
              <a:defRPr sz="1400"/>
            </a:pPr>
            <a:r>
              <a:rPr lang="en-US" sz="1400" baseline="0"/>
              <a:t>3rd Quarter 2022</a:t>
            </a:r>
            <a:endParaRPr lang="en-US" sz="1400"/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Timeliness_ar9052!$A$10</c:f>
              <c:strCache>
                <c:ptCount val="1"/>
                <c:pt idx="0">
                  <c:v>21 days or less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Timeliness_ar9052!$B$10:$D$10</c:f>
              <c:numCache>
                <c:formatCode>0.00%</c:formatCode>
                <c:ptCount val="3"/>
                <c:pt idx="0">
                  <c:v>0.52783755140942668</c:v>
                </c:pt>
                <c:pt idx="1">
                  <c:v>0.40629195892108222</c:v>
                </c:pt>
                <c:pt idx="2">
                  <c:v>0.61663546818085846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A8D-4943-9BF9-F2E9248B8EBA}"/>
            </c:ext>
          </c:extLst>
        </c:ser>
        <c:ser>
          <c:idx val="1"/>
          <c:order val="1"/>
          <c:tx>
            <c:strRef>
              <c:f>Timeliness_ar9052!$A$11</c:f>
              <c:strCache>
                <c:ptCount val="1"/>
                <c:pt idx="0">
                  <c:v>more than 21 days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Timeliness_ar9052!$B$11:$D$11</c:f>
              <c:numCache>
                <c:formatCode>0.00%</c:formatCode>
                <c:ptCount val="3"/>
                <c:pt idx="0">
                  <c:v>0.47216244859057332</c:v>
                </c:pt>
                <c:pt idx="1">
                  <c:v>0.59370804107891773</c:v>
                </c:pt>
                <c:pt idx="2">
                  <c:v>0.3833645318191416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A8D-4943-9BF9-F2E9248B8E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137693440"/>
        <c:axId val="137703424"/>
      </c:barChart>
      <c:catAx>
        <c:axId val="13769344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7703424"/>
        <c:crosses val="autoZero"/>
        <c:auto val="1"/>
        <c:lblAlgn val="ctr"/>
        <c:lblOffset val="100"/>
        <c:noMultiLvlLbl val="0"/>
      </c:catAx>
      <c:valAx>
        <c:axId val="137703424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76934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2022-12-06T14:25:00Z</dcterms:created>
  <dcterms:modified xsi:type="dcterms:W3CDTF">2022-12-06T21:44:00Z</dcterms:modified>
</cp:coreProperties>
</file>