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A4AA7" w14:textId="77777777" w:rsidR="0045432A" w:rsidRPr="00860638" w:rsidRDefault="0045432A" w:rsidP="0045432A">
      <w:pPr>
        <w:spacing w:after="80"/>
        <w:jc w:val="center"/>
        <w:rPr>
          <w:b/>
          <w:sz w:val="28"/>
          <w:szCs w:val="28"/>
        </w:rPr>
      </w:pPr>
      <w:r w:rsidRPr="00860638">
        <w:rPr>
          <w:b/>
          <w:sz w:val="28"/>
          <w:szCs w:val="28"/>
        </w:rPr>
        <w:t>Unemployment Insurance (UI) Nonmonetary Determinations</w:t>
      </w:r>
    </w:p>
    <w:p w14:paraId="047EB1F4" w14:textId="783E3923" w:rsidR="0045432A" w:rsidRDefault="00790749" w:rsidP="0045432A">
      <w:pPr>
        <w:spacing w:after="100" w:afterAutospacing="1"/>
        <w:jc w:val="center"/>
        <w:rPr>
          <w:b/>
        </w:rPr>
      </w:pPr>
      <w:r>
        <w:rPr>
          <w:b/>
        </w:rPr>
        <w:t>1</w:t>
      </w:r>
      <w:r w:rsidRPr="00790749">
        <w:rPr>
          <w:b/>
          <w:vertAlign w:val="superscript"/>
        </w:rPr>
        <w:t>st</w:t>
      </w:r>
      <w:r>
        <w:rPr>
          <w:b/>
        </w:rPr>
        <w:t xml:space="preserve"> </w:t>
      </w:r>
      <w:r w:rsidR="0045432A">
        <w:rPr>
          <w:b/>
        </w:rPr>
        <w:t>Quarter of 202</w:t>
      </w:r>
      <w:r>
        <w:rPr>
          <w:b/>
        </w:rPr>
        <w:t>3</w:t>
      </w:r>
    </w:p>
    <w:p w14:paraId="6B2EA532" w14:textId="77777777" w:rsidR="0079233F" w:rsidRDefault="0079233F" w:rsidP="0079233F">
      <w:pPr>
        <w:rPr>
          <w:b/>
        </w:rPr>
      </w:pPr>
      <w:bookmarkStart w:id="0" w:name="_Hlk109738415"/>
      <w:r>
        <w:rPr>
          <w:b/>
        </w:rPr>
        <w:t>Workload</w:t>
      </w:r>
    </w:p>
    <w:p w14:paraId="77846F37" w14:textId="77777777" w:rsidR="0079233F" w:rsidRDefault="0079233F" w:rsidP="0079233F">
      <w:r>
        <w:rPr>
          <w:noProof/>
        </w:rPr>
        <w:drawing>
          <wp:inline distT="0" distB="0" distL="0" distR="0" wp14:anchorId="42F41F89" wp14:editId="2A6AB4DF">
            <wp:extent cx="6699885" cy="3627120"/>
            <wp:effectExtent l="0" t="0" r="5715" b="0"/>
            <wp:docPr id="2" name="Picture 2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, ba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9885" cy="3627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AB7B28" w14:textId="77777777" w:rsidR="0079233F" w:rsidRPr="00C93D16" w:rsidRDefault="0079233F" w:rsidP="0079233F">
      <w:r w:rsidRPr="00C93D16">
        <w:t xml:space="preserve">In the </w:t>
      </w:r>
      <w:r>
        <w:t>1</w:t>
      </w:r>
      <w:r w:rsidRPr="00052E31">
        <w:rPr>
          <w:vertAlign w:val="superscript"/>
        </w:rPr>
        <w:t>st</w:t>
      </w:r>
      <w:r>
        <w:t xml:space="preserve"> </w:t>
      </w:r>
      <w:r w:rsidRPr="00C93D16">
        <w:t>quarter of 202</w:t>
      </w:r>
      <w:r>
        <w:t>3</w:t>
      </w:r>
      <w:r w:rsidRPr="00C93D16">
        <w:t xml:space="preserve">, the number of UI nonmonetary determinations </w:t>
      </w:r>
      <w:r>
        <w:t>in</w:t>
      </w:r>
      <w:r w:rsidRPr="00C93D16">
        <w:t xml:space="preserve">creased </w:t>
      </w:r>
      <w:r>
        <w:t>11.7</w:t>
      </w:r>
      <w:r w:rsidRPr="00C93D16">
        <w:t xml:space="preserve">% from the previous quarter.  The number of separation determinations </w:t>
      </w:r>
      <w:r>
        <w:t>increased by 6.1</w:t>
      </w:r>
      <w:r w:rsidRPr="00C93D16">
        <w:t xml:space="preserve">% </w:t>
      </w:r>
      <w:r>
        <w:t xml:space="preserve">from previous quarter </w:t>
      </w:r>
      <w:r w:rsidRPr="00C93D16">
        <w:t xml:space="preserve">and the number of nonseparation determinations </w:t>
      </w:r>
      <w:r>
        <w:t>in</w:t>
      </w:r>
      <w:r w:rsidRPr="00C93D16">
        <w:t xml:space="preserve">creased </w:t>
      </w:r>
      <w:r>
        <w:t>by</w:t>
      </w:r>
      <w:r w:rsidRPr="00C93D16">
        <w:t xml:space="preserve"> </w:t>
      </w:r>
      <w:r>
        <w:t>16.1</w:t>
      </w:r>
      <w:r w:rsidRPr="00C93D16">
        <w:t>%.</w:t>
      </w:r>
      <w:r>
        <w:t xml:space="preserve">  However, even though these categories show increases in this quarter, workload also is showing a significant decrease compared to the same quarter in 2020 due to the impact of Covid-19 on state workload</w:t>
      </w:r>
      <w:r w:rsidRPr="00C93D16">
        <w:t>.</w:t>
      </w:r>
    </w:p>
    <w:p w14:paraId="03A06FD9" w14:textId="77777777" w:rsidR="0079233F" w:rsidRPr="00C93D16" w:rsidRDefault="0079233F" w:rsidP="0079233F"/>
    <w:p w14:paraId="3CEF81CB" w14:textId="77777777" w:rsidR="0079233F" w:rsidRPr="00C93D16" w:rsidRDefault="0079233F" w:rsidP="0079233F"/>
    <w:p w14:paraId="4B5317CC" w14:textId="77777777" w:rsidR="0079233F" w:rsidRPr="00C93D16" w:rsidRDefault="0079233F" w:rsidP="0079233F"/>
    <w:p w14:paraId="4DC4B8C9" w14:textId="77777777" w:rsidR="0079233F" w:rsidRPr="00C93D16" w:rsidRDefault="0079233F" w:rsidP="0079233F"/>
    <w:p w14:paraId="0EF1E265" w14:textId="77777777" w:rsidR="0079233F" w:rsidRPr="00C93D16" w:rsidRDefault="0079233F" w:rsidP="0079233F"/>
    <w:p w14:paraId="7086FB54" w14:textId="77777777" w:rsidR="0079233F" w:rsidRPr="00C93D16" w:rsidRDefault="0079233F" w:rsidP="0079233F"/>
    <w:p w14:paraId="0564C007" w14:textId="77777777" w:rsidR="0079233F" w:rsidRPr="00C93D16" w:rsidRDefault="0079233F" w:rsidP="0079233F">
      <w:r>
        <w:rPr>
          <w:noProof/>
        </w:rPr>
        <w:lastRenderedPageBreak/>
        <w:drawing>
          <wp:inline distT="0" distB="0" distL="0" distR="0" wp14:anchorId="5AA98A47" wp14:editId="352AB9A2">
            <wp:extent cx="6694170" cy="3621405"/>
            <wp:effectExtent l="0" t="0" r="0" b="0"/>
            <wp:docPr id="3" name="Picture 3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, ba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4170" cy="362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277F6C" w14:textId="77777777" w:rsidR="0079233F" w:rsidRDefault="0079233F" w:rsidP="0079233F">
      <w:r w:rsidRPr="00C93D16">
        <w:t xml:space="preserve">In the </w:t>
      </w:r>
      <w:r>
        <w:t>1</w:t>
      </w:r>
      <w:r w:rsidRPr="00052E31">
        <w:rPr>
          <w:vertAlign w:val="superscript"/>
        </w:rPr>
        <w:t>st</w:t>
      </w:r>
      <w:r>
        <w:t xml:space="preserve"> </w:t>
      </w:r>
      <w:r w:rsidRPr="00C93D16">
        <w:t>quarter of 202</w:t>
      </w:r>
      <w:r>
        <w:t>3</w:t>
      </w:r>
      <w:r w:rsidRPr="00C93D16">
        <w:t xml:space="preserve">, </w:t>
      </w:r>
      <w:r>
        <w:t>49.4</w:t>
      </w:r>
      <w:r w:rsidRPr="00C93D16">
        <w:t xml:space="preserve">% of the determinations involving separation issues resulted in a denial of UI benefits, and </w:t>
      </w:r>
      <w:r>
        <w:t>50.6</w:t>
      </w:r>
      <w:r w:rsidRPr="00C93D16">
        <w:t xml:space="preserve">% of the determinations concluded that the claimant was eligible for benefits. </w:t>
      </w:r>
      <w:r w:rsidRPr="002E6279">
        <w:t>This</w:t>
      </w:r>
      <w:r>
        <w:t xml:space="preserve"> </w:t>
      </w:r>
      <w:r w:rsidRPr="004C70E4">
        <w:t xml:space="preserve">ratio in the </w:t>
      </w:r>
      <w:r>
        <w:t>1</w:t>
      </w:r>
      <w:r w:rsidRPr="00052E31">
        <w:rPr>
          <w:vertAlign w:val="superscript"/>
        </w:rPr>
        <w:t>st</w:t>
      </w:r>
      <w:r>
        <w:t xml:space="preserve"> </w:t>
      </w:r>
      <w:r w:rsidRPr="004C70E4">
        <w:t>quarter of 202</w:t>
      </w:r>
      <w:r>
        <w:t>3</w:t>
      </w:r>
      <w:r w:rsidRPr="004C70E4">
        <w:t xml:space="preserve"> </w:t>
      </w:r>
      <w:r>
        <w:t>is concluding that half of</w:t>
      </w:r>
      <w:r w:rsidRPr="004C70E4">
        <w:t xml:space="preserve"> determinations claimants </w:t>
      </w:r>
      <w:r>
        <w:t>are</w:t>
      </w:r>
      <w:r w:rsidRPr="004C70E4">
        <w:t xml:space="preserve"> </w:t>
      </w:r>
      <w:r>
        <w:t xml:space="preserve">both eligible and not </w:t>
      </w:r>
      <w:r w:rsidRPr="004C70E4">
        <w:t>eligible for benefits</w:t>
      </w:r>
      <w:r>
        <w:t>.</w:t>
      </w:r>
    </w:p>
    <w:p w14:paraId="57501286" w14:textId="77777777" w:rsidR="0079233F" w:rsidRPr="00C93D16" w:rsidRDefault="0079233F" w:rsidP="0079233F">
      <w:r w:rsidRPr="002E6279">
        <w:t xml:space="preserve"> </w:t>
      </w:r>
      <w:r>
        <w:rPr>
          <w:noProof/>
        </w:rPr>
        <w:drawing>
          <wp:inline distT="0" distB="0" distL="0" distR="0" wp14:anchorId="43204EA6" wp14:editId="49760521">
            <wp:extent cx="6706235" cy="3621405"/>
            <wp:effectExtent l="0" t="0" r="0" b="0"/>
            <wp:docPr id="4" name="Picture 4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hart, ba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6235" cy="362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E372AD" w14:textId="77777777" w:rsidR="0079233F" w:rsidRPr="00C93D16" w:rsidRDefault="0079233F" w:rsidP="0079233F">
      <w:r w:rsidRPr="00C93D16">
        <w:t xml:space="preserve">In the </w:t>
      </w:r>
      <w:r>
        <w:t>1</w:t>
      </w:r>
      <w:r w:rsidRPr="00052E31">
        <w:rPr>
          <w:vertAlign w:val="superscript"/>
        </w:rPr>
        <w:t>st</w:t>
      </w:r>
      <w:r>
        <w:t xml:space="preserve"> </w:t>
      </w:r>
      <w:r w:rsidRPr="00C93D16">
        <w:t>quarter of 202</w:t>
      </w:r>
      <w:r>
        <w:t>3</w:t>
      </w:r>
      <w:r w:rsidRPr="00C93D16">
        <w:t xml:space="preserve">, </w:t>
      </w:r>
      <w:r>
        <w:t>87.5</w:t>
      </w:r>
      <w:r w:rsidRPr="00C93D16">
        <w:t xml:space="preserve">% of the determinations involving nonseparation issues resulted in a denial of UI benefits, while the claimant was found to be eligible for benefits in only </w:t>
      </w:r>
      <w:r>
        <w:t>12.5</w:t>
      </w:r>
      <w:r w:rsidRPr="00C93D16">
        <w:t xml:space="preserve">% of nonseparation determinations. </w:t>
      </w:r>
      <w:r>
        <w:t>Although workload increased significantly starting with the 2</w:t>
      </w:r>
      <w:r w:rsidRPr="00F7315F">
        <w:rPr>
          <w:vertAlign w:val="superscript"/>
        </w:rPr>
        <w:t>nd</w:t>
      </w:r>
      <w:r>
        <w:t xml:space="preserve"> quarter of 2020 due to the impact of Covid-19, the ratio of denials to eligible claims remains similar for nonseparation issues.</w:t>
      </w:r>
    </w:p>
    <w:p w14:paraId="71B32213" w14:textId="77777777" w:rsidR="0079233F" w:rsidRPr="00C93D16" w:rsidRDefault="0079233F" w:rsidP="0079233F">
      <w:r>
        <w:rPr>
          <w:noProof/>
        </w:rPr>
        <w:lastRenderedPageBreak/>
        <w:drawing>
          <wp:inline distT="0" distB="0" distL="0" distR="0" wp14:anchorId="4FAFA020" wp14:editId="1F9EBD00">
            <wp:extent cx="6669405" cy="3035935"/>
            <wp:effectExtent l="0" t="0" r="0" b="0"/>
            <wp:docPr id="7" name="Picture 7" descr="Chart, pi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Chart, pi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9405" cy="3035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2F1AD5" w14:textId="77777777" w:rsidR="0079233F" w:rsidRPr="00C93D16" w:rsidRDefault="0079233F" w:rsidP="0079233F">
      <w:r w:rsidRPr="00C93D16">
        <w:t xml:space="preserve">In the </w:t>
      </w:r>
      <w:r>
        <w:t>1</w:t>
      </w:r>
      <w:r w:rsidRPr="00C33654">
        <w:rPr>
          <w:vertAlign w:val="superscript"/>
        </w:rPr>
        <w:t>st</w:t>
      </w:r>
      <w:r>
        <w:t xml:space="preserve"> </w:t>
      </w:r>
      <w:r w:rsidRPr="00C93D16">
        <w:t>quarter of 202</w:t>
      </w:r>
      <w:r>
        <w:t>3</w:t>
      </w:r>
      <w:r w:rsidRPr="00C93D16">
        <w:t xml:space="preserve">, </w:t>
      </w:r>
      <w:r>
        <w:t>63.0</w:t>
      </w:r>
      <w:r w:rsidRPr="00C93D16">
        <w:t xml:space="preserve">% of the determinations involving separation issues due to </w:t>
      </w:r>
      <w:r>
        <w:t>discharge</w:t>
      </w:r>
      <w:r w:rsidRPr="00C93D16">
        <w:t xml:space="preserve">, </w:t>
      </w:r>
      <w:r>
        <w:t>36.9</w:t>
      </w:r>
      <w:r w:rsidRPr="00C93D16">
        <w:t xml:space="preserve">% </w:t>
      </w:r>
      <w:r>
        <w:t xml:space="preserve">were </w:t>
      </w:r>
      <w:r w:rsidRPr="00C93D16">
        <w:t>due</w:t>
      </w:r>
      <w:r>
        <w:t xml:space="preserve">   </w:t>
      </w:r>
      <w:r w:rsidRPr="00C93D16">
        <w:t xml:space="preserve"> to </w:t>
      </w:r>
      <w:r>
        <w:t>voluntary leave</w:t>
      </w:r>
      <w:r w:rsidRPr="00C93D16">
        <w:t xml:space="preserve">, and </w:t>
      </w:r>
      <w:r>
        <w:t>0.1</w:t>
      </w:r>
      <w:r w:rsidRPr="00C93D16">
        <w:t>% due to other reasons.</w:t>
      </w:r>
      <w:r>
        <w:t xml:space="preserve"> This differs from results in 2019 and earlier, where separations due to discharge accounted for the majority of separation types.</w:t>
      </w:r>
    </w:p>
    <w:p w14:paraId="2A250E75" w14:textId="77777777" w:rsidR="0079233F" w:rsidRPr="00C93D16" w:rsidRDefault="0079233F" w:rsidP="0079233F">
      <w:r>
        <w:rPr>
          <w:noProof/>
        </w:rPr>
        <w:drawing>
          <wp:inline distT="0" distB="0" distL="0" distR="0" wp14:anchorId="27C56685" wp14:editId="5AFAB4A9">
            <wp:extent cx="6706235" cy="2956560"/>
            <wp:effectExtent l="0" t="0" r="0" b="0"/>
            <wp:docPr id="9" name="Picture 9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6235" cy="2956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A8775E" w14:textId="77777777" w:rsidR="0079233F" w:rsidRPr="00C93D16" w:rsidRDefault="0079233F" w:rsidP="0079233F">
      <w:r w:rsidRPr="00C93D16">
        <w:t xml:space="preserve">In the </w:t>
      </w:r>
      <w:r>
        <w:t>1</w:t>
      </w:r>
      <w:r w:rsidRPr="00C33654">
        <w:rPr>
          <w:vertAlign w:val="superscript"/>
        </w:rPr>
        <w:t>st</w:t>
      </w:r>
      <w:r>
        <w:t xml:space="preserve"> </w:t>
      </w:r>
      <w:r w:rsidRPr="00C93D16">
        <w:t>quarter of 202</w:t>
      </w:r>
      <w:r>
        <w:t>3</w:t>
      </w:r>
      <w:r w:rsidRPr="00C93D16">
        <w:t xml:space="preserve">, </w:t>
      </w:r>
      <w:r>
        <w:t>78.7</w:t>
      </w:r>
      <w:r w:rsidRPr="00C93D16">
        <w:t xml:space="preserve">% of the determinations where the claimant </w:t>
      </w:r>
      <w:r>
        <w:t xml:space="preserve">voluntary </w:t>
      </w:r>
      <w:r w:rsidRPr="00C93D16">
        <w:t>left the job</w:t>
      </w:r>
      <w:r>
        <w:t>,</w:t>
      </w:r>
      <w:r w:rsidRPr="00C93D16">
        <w:t xml:space="preserve"> resu</w:t>
      </w:r>
      <w:r>
        <w:t>lted in a denial of eligibility.  In contrast,</w:t>
      </w:r>
      <w:r w:rsidRPr="00C93D16">
        <w:t xml:space="preserve"> states issued denials for only </w:t>
      </w:r>
      <w:r>
        <w:t>32.3%</w:t>
      </w:r>
      <w:r w:rsidRPr="00C93D16">
        <w:t xml:space="preserve"> of the determinations where the claimant was discharged from the job.</w:t>
      </w:r>
    </w:p>
    <w:p w14:paraId="5BF849B5" w14:textId="77777777" w:rsidR="0079233F" w:rsidRPr="00C93D16" w:rsidRDefault="0079233F" w:rsidP="0079233F">
      <w:r>
        <w:rPr>
          <w:noProof/>
        </w:rPr>
        <w:lastRenderedPageBreak/>
        <w:drawing>
          <wp:inline distT="0" distB="0" distL="0" distR="0" wp14:anchorId="5EF1A803" wp14:editId="77C75527">
            <wp:extent cx="6816090" cy="3371215"/>
            <wp:effectExtent l="0" t="0" r="3810" b="635"/>
            <wp:docPr id="13" name="Picture 13" descr="Chart, pi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Chart, pi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6090" cy="3371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30888F" w14:textId="77777777" w:rsidR="0079233F" w:rsidRPr="00C93D16" w:rsidRDefault="0079233F" w:rsidP="0079233F">
      <w:r w:rsidRPr="00C93D16">
        <w:t xml:space="preserve">In the </w:t>
      </w:r>
      <w:r>
        <w:t>1</w:t>
      </w:r>
      <w:r w:rsidRPr="00C33654">
        <w:rPr>
          <w:vertAlign w:val="superscript"/>
        </w:rPr>
        <w:t>st</w:t>
      </w:r>
      <w:r>
        <w:t xml:space="preserve"> </w:t>
      </w:r>
      <w:r w:rsidRPr="00C93D16">
        <w:t>quarter of 202</w:t>
      </w:r>
      <w:r>
        <w:t>3</w:t>
      </w:r>
      <w:r w:rsidRPr="00C93D16">
        <w:t>, the largest category of nonseparation determinations (</w:t>
      </w:r>
      <w:r>
        <w:t>41.3</w:t>
      </w:r>
      <w:r w:rsidRPr="00C93D16">
        <w:t xml:space="preserve">%) </w:t>
      </w:r>
      <w:r>
        <w:t>was</w:t>
      </w:r>
      <w:r w:rsidRPr="00602AEE">
        <w:t xml:space="preserve"> </w:t>
      </w:r>
      <w:r>
        <w:t xml:space="preserve">the </w:t>
      </w:r>
      <w:r w:rsidRPr="00C93D16">
        <w:t>reporting requirement call-ins and other.  The second largest category</w:t>
      </w:r>
      <w:r>
        <w:t xml:space="preserve"> (30.7%) was</w:t>
      </w:r>
      <w:r w:rsidRPr="00C93D16">
        <w:t xml:space="preserve"> </w:t>
      </w:r>
      <w:r>
        <w:t>able, available, actively seeking employment</w:t>
      </w:r>
      <w:r w:rsidRPr="00C93D16">
        <w:t>.</w:t>
      </w:r>
      <w:r w:rsidRPr="002E6279">
        <w:t xml:space="preserve"> </w:t>
      </w:r>
      <w:r>
        <w:t>This is unlike 2019 and earlier, where the largest category was “reporting requirement, call-ins and other” and the second largest category was “able, available, actively seeking”.</w:t>
      </w:r>
    </w:p>
    <w:p w14:paraId="63F3ADB0" w14:textId="77777777" w:rsidR="0079233F" w:rsidRPr="00C93D16" w:rsidRDefault="0079233F" w:rsidP="0079233F">
      <w:r>
        <w:rPr>
          <w:noProof/>
        </w:rPr>
        <w:drawing>
          <wp:inline distT="0" distB="0" distL="0" distR="0" wp14:anchorId="351A9FBF" wp14:editId="596F2F7D">
            <wp:extent cx="6718300" cy="3621405"/>
            <wp:effectExtent l="0" t="0" r="6350" b="0"/>
            <wp:docPr id="14" name="Picture 14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Chart, bar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8300" cy="362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5B2DAE" w14:textId="77777777" w:rsidR="0079233F" w:rsidRDefault="0079233F" w:rsidP="0079233F">
      <w:r w:rsidRPr="00C93D16">
        <w:t xml:space="preserve">In the </w:t>
      </w:r>
      <w:r>
        <w:t>1</w:t>
      </w:r>
      <w:r w:rsidRPr="00DC23B1">
        <w:rPr>
          <w:vertAlign w:val="superscript"/>
        </w:rPr>
        <w:t>st</w:t>
      </w:r>
      <w:r>
        <w:t xml:space="preserve"> </w:t>
      </w:r>
      <w:r w:rsidRPr="00C93D16">
        <w:t>quarter of 202</w:t>
      </w:r>
      <w:r>
        <w:t>3</w:t>
      </w:r>
      <w:r w:rsidRPr="00C93D16">
        <w:t>, the category of nonseparation determinations with the highest denial rate was “Disqualifying/Deductible Income” with 100%, followed by</w:t>
      </w:r>
      <w:r>
        <w:t xml:space="preserve"> </w:t>
      </w:r>
      <w:r w:rsidRPr="00C93D16">
        <w:t>“</w:t>
      </w:r>
      <w:r>
        <w:t>Reporting Requirement Call-ins and Other</w:t>
      </w:r>
      <w:r w:rsidRPr="00C93D16">
        <w:t xml:space="preserve">” with </w:t>
      </w:r>
      <w:r>
        <w:t>89.3</w:t>
      </w:r>
      <w:r w:rsidRPr="00C93D16">
        <w:t>%</w:t>
      </w:r>
      <w:r>
        <w:t xml:space="preserve"> and </w:t>
      </w:r>
      <w:r w:rsidRPr="00C93D16">
        <w:t>“</w:t>
      </w:r>
      <w:r>
        <w:t>Able, Available, Actively Seeking</w:t>
      </w:r>
      <w:r w:rsidRPr="00C93D16">
        <w:t xml:space="preserve">” with </w:t>
      </w:r>
      <w:r>
        <w:t>87.7</w:t>
      </w:r>
      <w:r w:rsidRPr="00C93D16">
        <w:t>%</w:t>
      </w:r>
      <w:r>
        <w:t>.</w:t>
      </w:r>
    </w:p>
    <w:bookmarkEnd w:id="0"/>
    <w:p w14:paraId="149343CD" w14:textId="2F7FCE11" w:rsidR="00041F7A" w:rsidRDefault="00041F7A">
      <w:r w:rsidRPr="006C7B31">
        <w:rPr>
          <w:i/>
          <w:sz w:val="20"/>
          <w:szCs w:val="20"/>
        </w:rPr>
        <w:t xml:space="preserve">This report was produced on </w:t>
      </w:r>
      <w:r w:rsidR="00D46E6B">
        <w:rPr>
          <w:i/>
          <w:sz w:val="20"/>
          <w:szCs w:val="20"/>
        </w:rPr>
        <w:t>0</w:t>
      </w:r>
      <w:r w:rsidR="008712D0">
        <w:rPr>
          <w:i/>
          <w:sz w:val="20"/>
          <w:szCs w:val="20"/>
        </w:rPr>
        <w:t>6</w:t>
      </w:r>
      <w:r w:rsidR="00BE0B1E">
        <w:rPr>
          <w:i/>
          <w:sz w:val="20"/>
          <w:szCs w:val="20"/>
        </w:rPr>
        <w:t>/</w:t>
      </w:r>
      <w:r w:rsidR="008712D0">
        <w:rPr>
          <w:i/>
          <w:sz w:val="20"/>
          <w:szCs w:val="20"/>
        </w:rPr>
        <w:t>16</w:t>
      </w:r>
      <w:r>
        <w:rPr>
          <w:i/>
          <w:sz w:val="20"/>
          <w:szCs w:val="20"/>
        </w:rPr>
        <w:t>/202</w:t>
      </w:r>
      <w:r w:rsidR="00D46E6B">
        <w:rPr>
          <w:i/>
          <w:sz w:val="20"/>
          <w:szCs w:val="20"/>
        </w:rPr>
        <w:t>3</w:t>
      </w:r>
      <w:r>
        <w:rPr>
          <w:i/>
          <w:sz w:val="20"/>
          <w:szCs w:val="20"/>
        </w:rPr>
        <w:t xml:space="preserve"> b</w:t>
      </w:r>
      <w:r w:rsidRPr="006C7B31">
        <w:rPr>
          <w:i/>
          <w:sz w:val="20"/>
          <w:szCs w:val="20"/>
        </w:rPr>
        <w:t>y the Office of Unemployment Insurance, Division of Performance Management.</w:t>
      </w:r>
    </w:p>
    <w:sectPr w:rsidR="00041F7A" w:rsidSect="004543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F7A"/>
    <w:rsid w:val="00041F7A"/>
    <w:rsid w:val="00045F06"/>
    <w:rsid w:val="000768EF"/>
    <w:rsid w:val="0012691F"/>
    <w:rsid w:val="001E1C99"/>
    <w:rsid w:val="002D3538"/>
    <w:rsid w:val="002D6AC7"/>
    <w:rsid w:val="00401789"/>
    <w:rsid w:val="0045432A"/>
    <w:rsid w:val="00490459"/>
    <w:rsid w:val="004C6F9C"/>
    <w:rsid w:val="004D7091"/>
    <w:rsid w:val="0052310C"/>
    <w:rsid w:val="00680C14"/>
    <w:rsid w:val="006A5C5D"/>
    <w:rsid w:val="00790749"/>
    <w:rsid w:val="0079233F"/>
    <w:rsid w:val="007A6221"/>
    <w:rsid w:val="008712D0"/>
    <w:rsid w:val="00946B2E"/>
    <w:rsid w:val="00977758"/>
    <w:rsid w:val="00B95303"/>
    <w:rsid w:val="00BB1081"/>
    <w:rsid w:val="00BE0B1E"/>
    <w:rsid w:val="00C33BDC"/>
    <w:rsid w:val="00D425D9"/>
    <w:rsid w:val="00D46E6B"/>
    <w:rsid w:val="00E1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68242"/>
  <w15:chartTrackingRefBased/>
  <w15:docId w15:val="{B6B53AE2-C6B2-4EEE-87A7-B65326DA6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1F7A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Labor</Company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Rodall, Valerie - ETA</dc:creator>
  <cp:keywords/>
  <dc:description/>
  <cp:lastModifiedBy>Rodall, Valerie - ETA</cp:lastModifiedBy>
  <cp:revision>3</cp:revision>
  <dcterms:created xsi:type="dcterms:W3CDTF">2023-06-16T17:29:00Z</dcterms:created>
  <dcterms:modified xsi:type="dcterms:W3CDTF">2023-07-03T12:26:00Z</dcterms:modified>
</cp:coreProperties>
</file>