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28CAB" w14:textId="77777777" w:rsidR="0026341F" w:rsidRPr="00860638" w:rsidRDefault="0026341F" w:rsidP="0026341F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42FB451A" w14:textId="5584D9B4" w:rsidR="0026341F" w:rsidRDefault="00844996" w:rsidP="0026341F">
      <w:pPr>
        <w:spacing w:after="100" w:afterAutospacing="1"/>
        <w:jc w:val="center"/>
        <w:rPr>
          <w:b/>
        </w:rPr>
      </w:pPr>
      <w:r>
        <w:rPr>
          <w:b/>
        </w:rPr>
        <w:t>4</w:t>
      </w:r>
      <w:r w:rsidRPr="00844996">
        <w:rPr>
          <w:b/>
          <w:vertAlign w:val="superscript"/>
        </w:rPr>
        <w:t>th</w:t>
      </w:r>
      <w:r>
        <w:rPr>
          <w:b/>
        </w:rPr>
        <w:t xml:space="preserve"> </w:t>
      </w:r>
      <w:r w:rsidR="0026341F">
        <w:rPr>
          <w:b/>
        </w:rPr>
        <w:t>Quarter of 20</w:t>
      </w:r>
      <w:r w:rsidR="00E17B05">
        <w:rPr>
          <w:b/>
        </w:rPr>
        <w:t>2</w:t>
      </w:r>
      <w:r w:rsidR="00483AF9">
        <w:rPr>
          <w:b/>
        </w:rPr>
        <w:t>4</w:t>
      </w:r>
    </w:p>
    <w:p w14:paraId="4BD1C751" w14:textId="77777777" w:rsidR="00844996" w:rsidRPr="00C93D16" w:rsidRDefault="00844996" w:rsidP="00844996">
      <w:r w:rsidRPr="00C93D16">
        <w:rPr>
          <w:b/>
        </w:rPr>
        <w:t>Quality</w:t>
      </w:r>
    </w:p>
    <w:p w14:paraId="49D85C58" w14:textId="77777777" w:rsidR="00844996" w:rsidRPr="00C93D16" w:rsidRDefault="00844996" w:rsidP="00844996">
      <w:r>
        <w:rPr>
          <w:noProof/>
        </w:rPr>
        <w:drawing>
          <wp:inline distT="0" distB="0" distL="0" distR="0" wp14:anchorId="5C9D565C" wp14:editId="276BEA1E">
            <wp:extent cx="6429375" cy="3375498"/>
            <wp:effectExtent l="0" t="0" r="9525" b="15875"/>
            <wp:docPr id="121516295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C5B87B8" w14:textId="77777777" w:rsidR="00844996" w:rsidRPr="00C93D16" w:rsidRDefault="00844996" w:rsidP="00844996">
      <w:r w:rsidRPr="00C93D16">
        <w:t xml:space="preserve">In the </w:t>
      </w:r>
      <w:r>
        <w:t>4</w:t>
      </w:r>
      <w:r w:rsidRPr="009A5430">
        <w:rPr>
          <w:vertAlign w:val="superscript"/>
        </w:rPr>
        <w:t>th</w:t>
      </w:r>
      <w:r>
        <w:t xml:space="preserve"> quarter</w:t>
      </w:r>
      <w:r w:rsidRPr="00C93D16">
        <w:t xml:space="preserve"> of 20</w:t>
      </w:r>
      <w:r>
        <w:t>24</w:t>
      </w:r>
      <w:r w:rsidRPr="00C93D16">
        <w:t xml:space="preserve">, </w:t>
      </w:r>
      <w:r>
        <w:t>68</w:t>
      </w:r>
      <w:r w:rsidRPr="00C93D16">
        <w:t xml:space="preserve">% of the nonmonetary determinations sampled and reviewed for quality passed </w:t>
      </w:r>
      <w:r>
        <w:t xml:space="preserve">validation </w:t>
      </w:r>
      <w:r w:rsidRPr="00C93D16">
        <w:t xml:space="preserve">with 95 or more points out of 100, and </w:t>
      </w:r>
      <w:r>
        <w:t>23.7</w:t>
      </w:r>
      <w:r w:rsidRPr="00C93D16">
        <w:t xml:space="preserve">% failed </w:t>
      </w:r>
      <w:r>
        <w:t>to meet that standard</w:t>
      </w:r>
      <w:r w:rsidRPr="00C93D16">
        <w:t>.</w:t>
      </w:r>
    </w:p>
    <w:p w14:paraId="2E7258F7" w14:textId="77777777" w:rsidR="00844996" w:rsidRPr="00C93D16" w:rsidRDefault="00844996" w:rsidP="00844996">
      <w:r>
        <w:rPr>
          <w:noProof/>
        </w:rPr>
        <w:drawing>
          <wp:inline distT="0" distB="0" distL="0" distR="0" wp14:anchorId="750795F6" wp14:editId="14BA9551">
            <wp:extent cx="6429375" cy="3453319"/>
            <wp:effectExtent l="0" t="0" r="9525" b="13970"/>
            <wp:docPr id="200959949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3CBBB44" w14:textId="77777777" w:rsidR="00844996" w:rsidRPr="00C93D16" w:rsidRDefault="00844996" w:rsidP="00844996">
      <w:r w:rsidRPr="00C93D16">
        <w:t xml:space="preserve">In the </w:t>
      </w:r>
      <w:r>
        <w:t>4</w:t>
      </w:r>
      <w:r w:rsidRPr="009A5430">
        <w:rPr>
          <w:vertAlign w:val="superscript"/>
        </w:rPr>
        <w:t>th</w:t>
      </w:r>
      <w:r>
        <w:t xml:space="preserve"> </w:t>
      </w:r>
      <w:r w:rsidRPr="00C93D16">
        <w:t>quarter of 20</w:t>
      </w:r>
      <w:r>
        <w:t>24</w:t>
      </w:r>
      <w:r w:rsidRPr="00C93D16">
        <w:t xml:space="preserve">, the quality of claimant information was adequate for </w:t>
      </w:r>
      <w:r>
        <w:t>77.3</w:t>
      </w:r>
      <w:r w:rsidRPr="00C93D16">
        <w:t>% of the nonmonetary determinations sampled and reviewed.</w:t>
      </w:r>
    </w:p>
    <w:p w14:paraId="69DC211A" w14:textId="77777777" w:rsidR="00844996" w:rsidRPr="00C93D16" w:rsidRDefault="00844996" w:rsidP="00844996">
      <w:r>
        <w:rPr>
          <w:noProof/>
        </w:rPr>
        <w:lastRenderedPageBreak/>
        <w:drawing>
          <wp:inline distT="0" distB="0" distL="0" distR="0" wp14:anchorId="094DE0DD" wp14:editId="0C028BAD">
            <wp:extent cx="6566170" cy="3696335"/>
            <wp:effectExtent l="0" t="0" r="6350" b="18415"/>
            <wp:docPr id="182579617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CEED6F6" w14:textId="77777777" w:rsidR="00844996" w:rsidRPr="00C93D16" w:rsidRDefault="00844996" w:rsidP="00844996">
      <w:r w:rsidRPr="00C93D16">
        <w:t xml:space="preserve">In the </w:t>
      </w:r>
      <w:r>
        <w:t>4</w:t>
      </w:r>
      <w:r w:rsidRPr="009A5430">
        <w:rPr>
          <w:vertAlign w:val="superscript"/>
        </w:rPr>
        <w:t>th</w:t>
      </w:r>
      <w:r>
        <w:t xml:space="preserve"> quarter </w:t>
      </w:r>
      <w:r w:rsidRPr="00C93D16">
        <w:t>of 20</w:t>
      </w:r>
      <w:r>
        <w:t>24</w:t>
      </w:r>
      <w:r w:rsidRPr="00C93D16">
        <w:t xml:space="preserve">, the quality of the employer information was adequate for </w:t>
      </w:r>
      <w:r>
        <w:t>49.1</w:t>
      </w:r>
      <w:r w:rsidRPr="00C93D16">
        <w:t>% of the nonmonetary determinations sampled and reviewed.</w:t>
      </w:r>
    </w:p>
    <w:p w14:paraId="31B96027" w14:textId="77777777" w:rsidR="00844996" w:rsidRPr="00C93D16" w:rsidRDefault="00844996" w:rsidP="00844996">
      <w:r>
        <w:rPr>
          <w:noProof/>
        </w:rPr>
        <w:drawing>
          <wp:inline distT="0" distB="0" distL="0" distR="0" wp14:anchorId="32F287AE" wp14:editId="1D4BE1A6">
            <wp:extent cx="6283960" cy="3968886"/>
            <wp:effectExtent l="0" t="0" r="2540" b="12700"/>
            <wp:docPr id="17519450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FAA8845" w14:textId="77777777" w:rsidR="00844996" w:rsidRPr="00C93D16" w:rsidRDefault="00844996" w:rsidP="00844996">
      <w:r w:rsidRPr="00C93D16">
        <w:t xml:space="preserve">In the </w:t>
      </w:r>
      <w:r>
        <w:t>4</w:t>
      </w:r>
      <w:r w:rsidRPr="009A5430">
        <w:rPr>
          <w:vertAlign w:val="superscript"/>
        </w:rPr>
        <w:t>th</w:t>
      </w:r>
      <w:r>
        <w:t xml:space="preserve"> </w:t>
      </w:r>
      <w:r w:rsidRPr="00C93D16">
        <w:t>quarter of 20</w:t>
      </w:r>
      <w:r>
        <w:t>24</w:t>
      </w:r>
      <w:r w:rsidRPr="00C93D16">
        <w:t xml:space="preserve">, the quality of the information and facts obtained from others (for example labor unions, private employment agencies, employer representatives) was adequate for </w:t>
      </w:r>
      <w:r>
        <w:t>4.8</w:t>
      </w:r>
      <w:r w:rsidRPr="00C93D16">
        <w:t>% of the nonmonetary determinations sampled and reviewed.</w:t>
      </w:r>
    </w:p>
    <w:p w14:paraId="3C3A7936" w14:textId="77777777" w:rsidR="00844996" w:rsidRPr="00C93D16" w:rsidRDefault="00844996" w:rsidP="00844996">
      <w:r>
        <w:rPr>
          <w:noProof/>
        </w:rPr>
        <w:lastRenderedPageBreak/>
        <w:drawing>
          <wp:inline distT="0" distB="0" distL="0" distR="0" wp14:anchorId="031C6311" wp14:editId="1A4F929E">
            <wp:extent cx="6595353" cy="3151762"/>
            <wp:effectExtent l="0" t="0" r="15240" b="10795"/>
            <wp:docPr id="147983303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A48E4A9" w14:textId="77777777" w:rsidR="00844996" w:rsidRPr="00C93D16" w:rsidRDefault="00844996" w:rsidP="00844996">
      <w:r w:rsidRPr="00C93D16">
        <w:t xml:space="preserve">In the </w:t>
      </w:r>
      <w:r>
        <w:t>4</w:t>
      </w:r>
      <w:r w:rsidRPr="00E07F01">
        <w:rPr>
          <w:vertAlign w:val="superscript"/>
        </w:rPr>
        <w:t>th</w:t>
      </w:r>
      <w:r>
        <w:t xml:space="preserve"> q</w:t>
      </w:r>
      <w:r w:rsidRPr="00C93D16">
        <w:t>uarter of 20</w:t>
      </w:r>
      <w:r>
        <w:t>24</w:t>
      </w:r>
      <w:r w:rsidRPr="00C93D16">
        <w:t xml:space="preserve">, the quality reviews concluded that </w:t>
      </w:r>
      <w:r>
        <w:t>68</w:t>
      </w:r>
      <w:r w:rsidRPr="00C93D16">
        <w:t xml:space="preserve">% of the nonmonetary determinations sampled met the standards for the application of law and policy.  A nonmonetary determination meets the standard if “all relevant and critical facts were obtained, or a reasonable attempt was made to obtain them, and the nonmonetary determination is clearly correct.” (ET Handbook 301, </w:t>
      </w:r>
      <w:r w:rsidRPr="00C93D16">
        <w:rPr>
          <w:i/>
        </w:rPr>
        <w:t>UI Performs: Benefits Timeliness and Quality Nonmonetary Determinations Quality Review)</w:t>
      </w:r>
    </w:p>
    <w:p w14:paraId="4978EB48" w14:textId="77777777" w:rsidR="00844996" w:rsidRDefault="00844996" w:rsidP="00844996">
      <w:pPr>
        <w:spacing w:line="240" w:lineRule="auto"/>
      </w:pPr>
      <w:r>
        <w:rPr>
          <w:noProof/>
        </w:rPr>
        <w:drawing>
          <wp:inline distT="0" distB="0" distL="0" distR="0" wp14:anchorId="77088F3A" wp14:editId="15084BA5">
            <wp:extent cx="6643370" cy="3015575"/>
            <wp:effectExtent l="0" t="0" r="5080" b="13970"/>
            <wp:docPr id="103768032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EE6F25D" w14:textId="77777777" w:rsidR="00844996" w:rsidRDefault="00844996" w:rsidP="00844996">
      <w:pPr>
        <w:spacing w:line="240" w:lineRule="auto"/>
      </w:pPr>
      <w:r w:rsidRPr="00C93D16">
        <w:t xml:space="preserve">In the </w:t>
      </w:r>
      <w:r>
        <w:t>4</w:t>
      </w:r>
      <w:r w:rsidRPr="00E07F01">
        <w:rPr>
          <w:vertAlign w:val="superscript"/>
        </w:rPr>
        <w:t>th</w:t>
      </w:r>
      <w:r>
        <w:t xml:space="preserve"> </w:t>
      </w:r>
      <w:r w:rsidRPr="00C93D16">
        <w:t>quarter of 20</w:t>
      </w:r>
      <w:r>
        <w:t>24</w:t>
      </w:r>
      <w:r w:rsidRPr="00C93D16">
        <w:t xml:space="preserve">, the quality of the written determination was adequate for </w:t>
      </w:r>
      <w:r>
        <w:t>76.2</w:t>
      </w:r>
      <w:r w:rsidRPr="00C93D16">
        <w:t>% of the nonmonetary determinations sampled and reviewed.</w:t>
      </w:r>
    </w:p>
    <w:p w14:paraId="38097E9E" w14:textId="77777777" w:rsidR="00844996" w:rsidRDefault="00844996" w:rsidP="00844996">
      <w:pPr>
        <w:spacing w:line="240" w:lineRule="auto"/>
      </w:pPr>
    </w:p>
    <w:p w14:paraId="3CEC9F05" w14:textId="77777777" w:rsidR="00844996" w:rsidRPr="00C93D16" w:rsidRDefault="00844996" w:rsidP="00844996">
      <w:pPr>
        <w:rPr>
          <w:b/>
        </w:rPr>
      </w:pPr>
      <w:r w:rsidRPr="00C93D16">
        <w:rPr>
          <w:i/>
        </w:rPr>
        <w:t xml:space="preserve">This report was produced on </w:t>
      </w:r>
      <w:r>
        <w:rPr>
          <w:i/>
        </w:rPr>
        <w:t>03/4</w:t>
      </w:r>
      <w:r w:rsidRPr="00C93D16">
        <w:rPr>
          <w:i/>
        </w:rPr>
        <w:t>/202</w:t>
      </w:r>
      <w:r>
        <w:rPr>
          <w:i/>
        </w:rPr>
        <w:t>5</w:t>
      </w:r>
      <w:r w:rsidRPr="00C93D16">
        <w:rPr>
          <w:i/>
        </w:rPr>
        <w:t xml:space="preserve"> by the Office of Unemployment Insurance, Division of Performance Management.</w:t>
      </w:r>
    </w:p>
    <w:p w14:paraId="0342E706" w14:textId="77777777" w:rsidR="00844996" w:rsidRPr="00844996" w:rsidRDefault="00844996" w:rsidP="00CA556A">
      <w:pPr>
        <w:rPr>
          <w:iCs/>
          <w:sz w:val="20"/>
          <w:szCs w:val="20"/>
        </w:rPr>
      </w:pPr>
    </w:p>
    <w:sectPr w:rsidR="00844996" w:rsidRPr="00844996" w:rsidSect="002634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41F"/>
    <w:rsid w:val="000009B1"/>
    <w:rsid w:val="00047A4B"/>
    <w:rsid w:val="000860EA"/>
    <w:rsid w:val="000C5C53"/>
    <w:rsid w:val="000E25AA"/>
    <w:rsid w:val="000E541B"/>
    <w:rsid w:val="00100849"/>
    <w:rsid w:val="001102F0"/>
    <w:rsid w:val="0011665C"/>
    <w:rsid w:val="0026341F"/>
    <w:rsid w:val="00313C7B"/>
    <w:rsid w:val="0036422A"/>
    <w:rsid w:val="00364CAB"/>
    <w:rsid w:val="00397A4F"/>
    <w:rsid w:val="003C316C"/>
    <w:rsid w:val="003D32F9"/>
    <w:rsid w:val="003E6BA2"/>
    <w:rsid w:val="003F54FE"/>
    <w:rsid w:val="003F737A"/>
    <w:rsid w:val="00402EAE"/>
    <w:rsid w:val="00431470"/>
    <w:rsid w:val="0043385E"/>
    <w:rsid w:val="00483AF9"/>
    <w:rsid w:val="004A7EBD"/>
    <w:rsid w:val="004E0E2A"/>
    <w:rsid w:val="00555966"/>
    <w:rsid w:val="00570D7C"/>
    <w:rsid w:val="00591CE7"/>
    <w:rsid w:val="005A609F"/>
    <w:rsid w:val="005B3FDE"/>
    <w:rsid w:val="005C1642"/>
    <w:rsid w:val="005E3484"/>
    <w:rsid w:val="00603DED"/>
    <w:rsid w:val="006270DF"/>
    <w:rsid w:val="00644300"/>
    <w:rsid w:val="006B4C41"/>
    <w:rsid w:val="006C609F"/>
    <w:rsid w:val="006F1DCF"/>
    <w:rsid w:val="006F5443"/>
    <w:rsid w:val="007200A0"/>
    <w:rsid w:val="00753369"/>
    <w:rsid w:val="00787A34"/>
    <w:rsid w:val="007922B8"/>
    <w:rsid w:val="00797C3A"/>
    <w:rsid w:val="00815B2C"/>
    <w:rsid w:val="00844996"/>
    <w:rsid w:val="008A22B4"/>
    <w:rsid w:val="008C3B42"/>
    <w:rsid w:val="008D3F96"/>
    <w:rsid w:val="008E535B"/>
    <w:rsid w:val="008F6C0A"/>
    <w:rsid w:val="0090301F"/>
    <w:rsid w:val="009258F7"/>
    <w:rsid w:val="00925B95"/>
    <w:rsid w:val="00940B0B"/>
    <w:rsid w:val="00984414"/>
    <w:rsid w:val="009C590A"/>
    <w:rsid w:val="009D2EED"/>
    <w:rsid w:val="00A01035"/>
    <w:rsid w:val="00A347EC"/>
    <w:rsid w:val="00A37A21"/>
    <w:rsid w:val="00A41DF4"/>
    <w:rsid w:val="00A72101"/>
    <w:rsid w:val="00AB162F"/>
    <w:rsid w:val="00B067A4"/>
    <w:rsid w:val="00B421ED"/>
    <w:rsid w:val="00B62711"/>
    <w:rsid w:val="00B73F96"/>
    <w:rsid w:val="00BB4272"/>
    <w:rsid w:val="00BC6E4E"/>
    <w:rsid w:val="00C11506"/>
    <w:rsid w:val="00C771D8"/>
    <w:rsid w:val="00C81963"/>
    <w:rsid w:val="00CA556A"/>
    <w:rsid w:val="00CD099D"/>
    <w:rsid w:val="00CD24AD"/>
    <w:rsid w:val="00D06AF9"/>
    <w:rsid w:val="00D15911"/>
    <w:rsid w:val="00D23956"/>
    <w:rsid w:val="00D65C35"/>
    <w:rsid w:val="00D701CA"/>
    <w:rsid w:val="00E17B05"/>
    <w:rsid w:val="00E46331"/>
    <w:rsid w:val="00E63D72"/>
    <w:rsid w:val="00E6622D"/>
    <w:rsid w:val="00EB57EA"/>
    <w:rsid w:val="00EC1345"/>
    <w:rsid w:val="00F91186"/>
    <w:rsid w:val="00FC2304"/>
    <w:rsid w:val="00FD2BFA"/>
    <w:rsid w:val="00FE0514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080CC"/>
  <w15:docId w15:val="{06CE15C2-F2E3-4775-9D9D-501A7EED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41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341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41F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911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Quality Scores</a:t>
            </a:r>
          </a:p>
          <a:p>
            <a:pPr>
              <a:defRPr sz="1400"/>
            </a:pPr>
            <a:r>
              <a:rPr lang="en-US" sz="1400"/>
              <a:t>4th Quarter 2024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Quality_ar9056!$B$2</c:f>
              <c:strCache>
                <c:ptCount val="1"/>
                <c:pt idx="0">
                  <c:v>UI Determinations Quality Scores</c:v>
                </c:pt>
              </c:strCache>
            </c:strRef>
          </c:tx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0-8FD8-4DB3-849C-C41F6401CF45}"/>
              </c:ext>
            </c:extLst>
          </c:dPt>
          <c:dLbls>
            <c:dLbl>
              <c:idx val="0"/>
              <c:layout>
                <c:manualLayout>
                  <c:x val="-0.13274834560487242"/>
                  <c:y val="-0.1609293804717363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68.0%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8FD8-4DB3-849C-C41F6401CF4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23.7%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8FD8-4DB3-849C-C41F6401CF45}"/>
                </c:ext>
              </c:extLst>
            </c:dLbl>
            <c:dLbl>
              <c:idx val="2"/>
              <c:layout>
                <c:manualLayout>
                  <c:x val="2.448360734339872E-2"/>
                  <c:y val="9.479741653453728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8FD8-4DB3-849C-C41F6401CF45}"/>
                </c:ext>
              </c:extLst>
            </c:dLbl>
            <c:dLbl>
              <c:idx val="3"/>
              <c:layout>
                <c:manualLayout>
                  <c:x val="-7.6642549498756878E-4"/>
                  <c:y val="2.44353317221485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8FD8-4DB3-849C-C41F6401CF45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Quality_ar9056!$B$5:$B$7</c:f>
              <c:strCache>
                <c:ptCount val="3"/>
                <c:pt idx="0">
                  <c:v>≥ 95 points</c:v>
                </c:pt>
                <c:pt idx="1">
                  <c:v>&lt; 95 points</c:v>
                </c:pt>
                <c:pt idx="2">
                  <c:v>Cases not Reviewed</c:v>
                </c:pt>
              </c:strCache>
            </c:strRef>
          </c:cat>
          <c:val>
            <c:numRef>
              <c:f>Quality_ar9056!$C$5:$C$7</c:f>
              <c:numCache>
                <c:formatCode>0.0%</c:formatCode>
                <c:ptCount val="3"/>
                <c:pt idx="0">
                  <c:v>0.68</c:v>
                </c:pt>
                <c:pt idx="1">
                  <c:v>0.23699999999999999</c:v>
                </c:pt>
                <c:pt idx="2">
                  <c:v>8.3000000000000004E-2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FD8-4DB3-849C-C41F6401CF45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Claimant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4th Quarter 2024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9.9868661327531527E-2"/>
          <c:y val="2.7303754266211604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4760126546557834"/>
          <c:y val="0.2465529010238908"/>
          <c:w val="0.41895630720225058"/>
          <c:h val="0.72614334470989761"/>
        </c:manualLayout>
      </c:layout>
      <c:pieChart>
        <c:varyColors val="1"/>
        <c:ser>
          <c:idx val="0"/>
          <c:order val="0"/>
          <c:tx>
            <c:strRef>
              <c:f>Quality_ar9056!$B$21</c:f>
              <c:strCache>
                <c:ptCount val="1"/>
                <c:pt idx="0">
                  <c:v>claimant information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77.3%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6158-44ED-8DD1-4336A4FD40A6}"/>
                </c:ext>
              </c:extLst>
            </c:dLbl>
            <c:dLbl>
              <c:idx val="1"/>
              <c:layout>
                <c:manualLayout>
                  <c:x val="7.4012742724844316E-2"/>
                  <c:y val="0.1308046903693352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158-44ED-8DD1-4336A4FD40A6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158-44ED-8DD1-4336A4FD40A6}"/>
                </c:ext>
              </c:extLst>
            </c:dLbl>
            <c:dLbl>
              <c:idx val="3"/>
              <c:layout>
                <c:manualLayout>
                  <c:x val="2.3130946082921777E-2"/>
                  <c:y val="0.103159101699318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6158-44ED-8DD1-4336A4FD40A6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Quality_ar9056!$B$23:$B$26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Quality_ar9056!$C$23:$C$26</c:f>
              <c:numCache>
                <c:formatCode>0.0%</c:formatCode>
                <c:ptCount val="4"/>
                <c:pt idx="0">
                  <c:v>0.77300000000000002</c:v>
                </c:pt>
                <c:pt idx="1">
                  <c:v>0.13</c:v>
                </c:pt>
                <c:pt idx="2">
                  <c:v>1.2999999999999999E-2</c:v>
                </c:pt>
                <c:pt idx="3">
                  <c:v>8.3000000000000004E-2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158-44ED-8DD1-4336A4FD40A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Employer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4th Quarter 2024</a:t>
            </a:r>
            <a:endParaRPr lang="en-US" sz="1400">
              <a:effectLst/>
            </a:endParaRP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Quality_ar9056!$B$39</c:f>
              <c:strCache>
                <c:ptCount val="1"/>
                <c:pt idx="0">
                  <c:v>employer information</c:v>
                </c:pt>
              </c:strCache>
            </c:strRef>
          </c:tx>
          <c:dLbls>
            <c:dLbl>
              <c:idx val="0"/>
              <c:layout>
                <c:manualLayout>
                  <c:x val="-0.13736981447859725"/>
                  <c:y val="-1.555630097807280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49.1%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E648-4B1F-9DD6-CEAB5142FBE3}"/>
                </c:ext>
              </c:extLst>
            </c:dLbl>
            <c:dLbl>
              <c:idx val="1"/>
              <c:layout>
                <c:manualLayout>
                  <c:x val="3.4997955496274984E-2"/>
                  <c:y val="-0.1245925741288004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7.8%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E648-4B1F-9DD6-CEAB5142FBE3}"/>
                </c:ext>
              </c:extLst>
            </c:dLbl>
            <c:dLbl>
              <c:idx val="2"/>
              <c:layout>
                <c:manualLayout>
                  <c:x val="-4.0184004345634544E-2"/>
                  <c:y val="9.150100632039664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E648-4B1F-9DD6-CEAB5142FBE3}"/>
                </c:ext>
              </c:extLst>
            </c:dLbl>
            <c:dLbl>
              <c:idx val="3"/>
              <c:layout>
                <c:manualLayout>
                  <c:x val="0.14862415547994234"/>
                  <c:y val="3.72645885017796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33.1%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E648-4B1F-9DD6-CEAB5142FBE3}"/>
                </c:ext>
              </c:extLst>
            </c:dLbl>
            <c:dLbl>
              <c:idx val="4"/>
              <c:layout>
                <c:manualLayout>
                  <c:x val="2.9831612838615802E-2"/>
                  <c:y val="7.500808974220683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350359380668942E-2"/>
                      <c:h val="3.7465933196706581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4-E648-4B1F-9DD6-CEAB5142FBE3}"/>
                </c:ext>
              </c:extLst>
            </c:dLbl>
            <c:dLbl>
              <c:idx val="5"/>
              <c:layout>
                <c:manualLayout>
                  <c:x val="7.0786819881228256E-3"/>
                  <c:y val="5.640857392825860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E648-4B1F-9DD6-CEAB5142FBE3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Quality_ar9056!$B$41:$B$45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Quality_ar9056!$C$41:$C$45</c:f>
              <c:numCache>
                <c:formatCode>0.0%</c:formatCode>
                <c:ptCount val="5"/>
                <c:pt idx="0">
                  <c:v>0.49099999999999999</c:v>
                </c:pt>
                <c:pt idx="1">
                  <c:v>7.8E-2</c:v>
                </c:pt>
                <c:pt idx="2">
                  <c:v>1.6E-2</c:v>
                </c:pt>
                <c:pt idx="3">
                  <c:v>0.33100000000000002</c:v>
                </c:pt>
                <c:pt idx="4">
                  <c:v>8.3000000000000004E-2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648-4B1F-9DD6-CEAB5142FBE3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787798184058423"/>
          <c:y val="0.28857299087614052"/>
          <c:w val="0.30331745133604437"/>
          <c:h val="0.59852830896137987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Information/Facts from Others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4th Quarter 2024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12507735313573606"/>
          <c:y val="2.8059803104816673E-3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Quality_ar9056!$B$57</c:f>
              <c:strCache>
                <c:ptCount val="1"/>
                <c:pt idx="0">
                  <c:v>Info/Fact from Others</c:v>
                </c:pt>
              </c:strCache>
            </c:strRef>
          </c:tx>
          <c:dPt>
            <c:idx val="3"/>
            <c:bubble3D val="0"/>
            <c:explosion val="1"/>
            <c:extLst>
              <c:ext xmlns:c16="http://schemas.microsoft.com/office/drawing/2014/chart" uri="{C3380CC4-5D6E-409C-BE32-E72D297353CC}">
                <c16:uniqueId val="{00000001-54A2-49CB-BD00-4704C7B4D17A}"/>
              </c:ext>
            </c:extLst>
          </c:dPt>
          <c:dLbls>
            <c:dLbl>
              <c:idx val="0"/>
              <c:layout>
                <c:manualLayout>
                  <c:x val="5.1693730906587493E-2"/>
                  <c:y val="4.1089163854518183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0.7%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531536100360337E-2"/>
                      <c:h val="8.6393808282497112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54A2-49CB-BD00-4704C7B4D17A}"/>
                </c:ext>
              </c:extLst>
            </c:dLbl>
            <c:dLbl>
              <c:idx val="1"/>
              <c:layout>
                <c:manualLayout>
                  <c:x val="-9.6111431193052085E-2"/>
                  <c:y val="-2.9161986151048525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4A2-49CB-BD00-4704C7B4D17A}"/>
                </c:ext>
              </c:extLst>
            </c:dLbl>
            <c:dLbl>
              <c:idx val="2"/>
              <c:layout>
                <c:manualLayout>
                  <c:x val="-7.4288541801127317E-2"/>
                  <c:y val="6.7889313835770529E-2"/>
                </c:manualLayout>
              </c:layout>
              <c:tx>
                <c:rich>
                  <a:bodyPr/>
                  <a:lstStyle/>
                  <a:p>
                    <a:pPr>
                      <a:defRPr sz="1000" b="1"/>
                    </a:pPr>
                    <a:r>
                      <a:rPr lang="en-US" sz="900"/>
                      <a:t>4.8%</a:t>
                    </a: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54A2-49CB-BD00-4704C7B4D17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85.8%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54A2-49CB-BD00-4704C7B4D17A}"/>
                </c:ext>
              </c:extLst>
            </c:dLbl>
            <c:dLbl>
              <c:idx val="4"/>
              <c:layout>
                <c:manualLayout>
                  <c:x val="1.3750010756852114E-2"/>
                  <c:y val="9.54725145338141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54A2-49CB-BD00-4704C7B4D17A}"/>
                </c:ext>
              </c:extLst>
            </c:dLbl>
            <c:dLbl>
              <c:idx val="5"/>
              <c:layout>
                <c:manualLayout>
                  <c:x val="1.720251500002662E-3"/>
                  <c:y val="1.80453730412410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54A2-49CB-BD00-4704C7B4D17A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Quality_ar9056!$B$59:$B$63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Quality_ar9056!$C$59:$C$63</c:f>
              <c:numCache>
                <c:formatCode>0.0%</c:formatCode>
                <c:ptCount val="5"/>
                <c:pt idx="0">
                  <c:v>4.8000000000000001E-2</c:v>
                </c:pt>
                <c:pt idx="1">
                  <c:v>2E-3</c:v>
                </c:pt>
                <c:pt idx="2">
                  <c:v>7.0000000000000001E-3</c:v>
                </c:pt>
                <c:pt idx="3">
                  <c:v>0.85799999999999998</c:v>
                </c:pt>
                <c:pt idx="4">
                  <c:v>8.3000000000000004E-2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4A2-49CB-BD00-4704C7B4D17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840454020326568"/>
          <c:y val="0.25334809386450452"/>
          <c:w val="0.30536827926935095"/>
          <c:h val="0.59734310438917904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Quality of Law/Policy in Determinations</a:t>
            </a:r>
          </a:p>
          <a:p>
            <a:pPr>
              <a:defRPr sz="1400"/>
            </a:pPr>
            <a:r>
              <a:rPr lang="en-US" sz="1400"/>
              <a:t>4th Quarter 2024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Quality_ar9056!$B$75</c:f>
              <c:strCache>
                <c:ptCount val="1"/>
                <c:pt idx="0">
                  <c:v>Law/Policy</c:v>
                </c:pt>
              </c:strCache>
            </c:strRef>
          </c:tx>
          <c:dLbls>
            <c:dLbl>
              <c:idx val="0"/>
              <c:layout>
                <c:manualLayout>
                  <c:x val="-0.15574398534868744"/>
                  <c:y val="-2.87543463007718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8BB-49EB-BF72-C42BF01ECE1D}"/>
                </c:ext>
              </c:extLst>
            </c:dLbl>
            <c:dLbl>
              <c:idx val="1"/>
              <c:layout>
                <c:manualLayout>
                  <c:x val="0.12355269615688283"/>
                  <c:y val="4.238101636612829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8BB-49EB-BF72-C42BF01ECE1D}"/>
                </c:ext>
              </c:extLst>
            </c:dLbl>
            <c:dLbl>
              <c:idx val="2"/>
              <c:layout>
                <c:manualLayout>
                  <c:x val="2.6014938254504336E-2"/>
                  <c:y val="2.653666613820923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8BB-49EB-BF72-C42BF01ECE1D}"/>
                </c:ext>
              </c:extLst>
            </c:dLbl>
            <c:dLbl>
              <c:idx val="3"/>
              <c:layout>
                <c:manualLayout>
                  <c:x val="3.6683737703518765E-2"/>
                  <c:y val="7.004953732319296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8.3%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A8BB-49EB-BF72-C42BF01ECE1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A8BB-49EB-BF72-C42BF01ECE1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Quality_ar9056!$B$77:$B$80</c:f>
              <c:strCache>
                <c:ptCount val="4"/>
                <c:pt idx="0">
                  <c:v>Meets</c:v>
                </c:pt>
                <c:pt idx="1">
                  <c:v>Questionable</c:v>
                </c:pt>
                <c:pt idx="2">
                  <c:v>Does Not Meet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Quality_ar9056!$C$77:$C$80</c:f>
              <c:numCache>
                <c:formatCode>0.0%</c:formatCode>
                <c:ptCount val="4"/>
                <c:pt idx="0">
                  <c:v>0.68</c:v>
                </c:pt>
                <c:pt idx="1">
                  <c:v>0.19400000000000001</c:v>
                </c:pt>
                <c:pt idx="2">
                  <c:v>4.2999999999999997E-2</c:v>
                </c:pt>
                <c:pt idx="3">
                  <c:v>8.3000000000000004E-2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8BB-49EB-BF72-C42BF01ECE1D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Written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4th Quarter 2024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20966666666666667"/>
          <c:y val="2.7777777777777776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Quality_ar9056!$B$93</c:f>
              <c:strCache>
                <c:ptCount val="1"/>
                <c:pt idx="0">
                  <c:v>Written Determination</c:v>
                </c:pt>
              </c:strCache>
            </c:strRef>
          </c:tx>
          <c:dLbls>
            <c:dLbl>
              <c:idx val="0"/>
              <c:layout>
                <c:manualLayout>
                  <c:x val="-0.1562315461074465"/>
                  <c:y val="-0.1386871443049816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76.2%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C315-4E59-B39E-7D5DB9F39C3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8.6%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315-4E59-B39E-7D5DB9F39C3E}"/>
                </c:ext>
              </c:extLst>
            </c:dLbl>
            <c:dLbl>
              <c:idx val="2"/>
              <c:layout>
                <c:manualLayout>
                  <c:x val="7.214888502552895E-2"/>
                  <c:y val="0.1043778673935238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6.8%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C315-4E59-B39E-7D5DB9F39C3E}"/>
                </c:ext>
              </c:extLst>
            </c:dLbl>
            <c:dLbl>
              <c:idx val="3"/>
              <c:layout>
                <c:manualLayout>
                  <c:x val="3.2016089452233103E-2"/>
                  <c:y val="0.1016986016679655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C315-4E59-B39E-7D5DB9F39C3E}"/>
                </c:ext>
              </c:extLst>
            </c:dLbl>
            <c:dLbl>
              <c:idx val="4"/>
              <c:layout>
                <c:manualLayout>
                  <c:x val="4.6647820138100904E-3"/>
                  <c:y val="1.65145396429406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C315-4E59-B39E-7D5DB9F39C3E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Quality_ar9056!$B$95:$B$98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Wrong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Quality_ar9056!$C$95:$C$98</c:f>
              <c:numCache>
                <c:formatCode>0.0%</c:formatCode>
                <c:ptCount val="4"/>
                <c:pt idx="0">
                  <c:v>0.76200000000000001</c:v>
                </c:pt>
                <c:pt idx="1">
                  <c:v>8.5999999999999993E-2</c:v>
                </c:pt>
                <c:pt idx="2">
                  <c:v>6.8000000000000005E-2</c:v>
                </c:pt>
                <c:pt idx="3">
                  <c:v>8.3000000000000004E-2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315-4E59-B39E-7D5DB9F39C3E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D45376-AC92-4649-8269-BA8E2759BE40}"/>
</file>

<file path=customXml/itemProps2.xml><?xml version="1.0" encoding="utf-8"?>
<ds:datastoreItem xmlns:ds="http://schemas.openxmlformats.org/officeDocument/2006/customXml" ds:itemID="{3C33E207-65B8-4E37-958F-2E739A23A8E0}"/>
</file>

<file path=customXml/itemProps3.xml><?xml version="1.0" encoding="utf-8"?>
<ds:datastoreItem xmlns:ds="http://schemas.openxmlformats.org/officeDocument/2006/customXml" ds:itemID="{8FBC27A3-0F4B-4278-962A-10AD092E68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Employment &amp; Training Administration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Valerie Rodall</dc:creator>
  <cp:lastModifiedBy>Rodall, Valerie - ETA</cp:lastModifiedBy>
  <cp:revision>4</cp:revision>
  <dcterms:created xsi:type="dcterms:W3CDTF">2024-12-04T21:30:00Z</dcterms:created>
  <dcterms:modified xsi:type="dcterms:W3CDTF">2025-03-05T20:10:00Z</dcterms:modified>
</cp:coreProperties>
</file>