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theme/theme1.xml" ContentType="application/vnd.openxmlformats-officedocument.theme+xml"/>
  <Override PartName="/word/theme/themeOverride6.xml" ContentType="application/vnd.openxmlformats-officedocument.themeOverrid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A4AA7" w14:textId="77777777" w:rsidR="0045432A" w:rsidRPr="00860638" w:rsidRDefault="0045432A" w:rsidP="0045432A">
      <w:pPr>
        <w:spacing w:after="80"/>
        <w:jc w:val="center"/>
        <w:rPr>
          <w:b/>
          <w:sz w:val="28"/>
          <w:szCs w:val="28"/>
        </w:rPr>
      </w:pPr>
      <w:bookmarkStart w:id="0" w:name="_Hlk161411167"/>
      <w:bookmarkEnd w:id="0"/>
      <w:r w:rsidRPr="00860638">
        <w:rPr>
          <w:b/>
          <w:sz w:val="28"/>
          <w:szCs w:val="28"/>
        </w:rPr>
        <w:t>Unemployment Insurance (UI) Nonmonetary Determinations</w:t>
      </w:r>
    </w:p>
    <w:p w14:paraId="047EB1F4" w14:textId="4511040E" w:rsidR="0045432A" w:rsidRDefault="00952F94" w:rsidP="0045432A">
      <w:pPr>
        <w:spacing w:after="100" w:afterAutospacing="1"/>
        <w:jc w:val="center"/>
        <w:rPr>
          <w:b/>
        </w:rPr>
      </w:pPr>
      <w:r>
        <w:rPr>
          <w:b/>
        </w:rPr>
        <w:t>1</w:t>
      </w:r>
      <w:r w:rsidRPr="00952F94">
        <w:rPr>
          <w:b/>
          <w:vertAlign w:val="superscript"/>
        </w:rPr>
        <w:t>st</w:t>
      </w:r>
      <w:r>
        <w:rPr>
          <w:b/>
        </w:rPr>
        <w:t xml:space="preserve"> </w:t>
      </w:r>
      <w:r w:rsidR="0045432A">
        <w:rPr>
          <w:b/>
        </w:rPr>
        <w:t>Quarter of 202</w:t>
      </w:r>
      <w:r>
        <w:rPr>
          <w:b/>
        </w:rPr>
        <w:t>4</w:t>
      </w:r>
    </w:p>
    <w:p w14:paraId="1CC6F3B1" w14:textId="77777777" w:rsidR="00952F94" w:rsidRDefault="00952F94" w:rsidP="00952F94">
      <w:pPr>
        <w:rPr>
          <w:b/>
        </w:rPr>
      </w:pPr>
      <w:bookmarkStart w:id="1" w:name="_Hlk109738415"/>
      <w:r>
        <w:rPr>
          <w:b/>
        </w:rPr>
        <w:t>Workload</w:t>
      </w:r>
    </w:p>
    <w:p w14:paraId="177F881F" w14:textId="77777777" w:rsidR="00952F94" w:rsidRDefault="00952F94" w:rsidP="00952F94">
      <w:r>
        <w:rPr>
          <w:noProof/>
        </w:rPr>
        <w:drawing>
          <wp:inline distT="0" distB="0" distL="0" distR="0" wp14:anchorId="5C950B71" wp14:editId="5CE4DF44">
            <wp:extent cx="6688138" cy="3606801"/>
            <wp:effectExtent l="0" t="0" r="17780" b="12700"/>
            <wp:docPr id="178896518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295D74B" w14:textId="77777777" w:rsidR="00952F94" w:rsidRPr="00C93D16" w:rsidRDefault="00952F94" w:rsidP="00952F94">
      <w:r w:rsidRPr="00C93D16">
        <w:t xml:space="preserve">In the </w:t>
      </w:r>
      <w:r>
        <w:t>1</w:t>
      </w:r>
      <w:r w:rsidRPr="00852CCF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the number of UI nonmonetary determinations </w:t>
      </w:r>
      <w:r>
        <w:t>in</w:t>
      </w:r>
      <w:r w:rsidRPr="00C93D16">
        <w:t xml:space="preserve">creased </w:t>
      </w:r>
      <w:r>
        <w:t>14.4</w:t>
      </w:r>
      <w:r w:rsidRPr="00C93D16">
        <w:t xml:space="preserve">% from the previous quarter.  The number of separation determinations </w:t>
      </w:r>
      <w:r>
        <w:t>increased by 3.8</w:t>
      </w:r>
      <w:r w:rsidRPr="00C93D16">
        <w:t xml:space="preserve">% </w:t>
      </w:r>
      <w:r>
        <w:t xml:space="preserve">from previous quarter </w:t>
      </w:r>
      <w:r w:rsidRPr="00C93D16">
        <w:t xml:space="preserve">and the number of nonseparation determinations </w:t>
      </w:r>
      <w:r>
        <w:t>in</w:t>
      </w:r>
      <w:r w:rsidRPr="00C93D16">
        <w:t xml:space="preserve">creased </w:t>
      </w:r>
      <w:r>
        <w:t>by</w:t>
      </w:r>
      <w:r w:rsidRPr="00C93D16">
        <w:t xml:space="preserve"> </w:t>
      </w:r>
      <w:r>
        <w:t>22.7</w:t>
      </w:r>
      <w:r w:rsidRPr="00C93D16">
        <w:t>%.</w:t>
      </w:r>
      <w:r>
        <w:t xml:space="preserve">  However, even though these categories show increases in this quarter, workload also is showing a significant increase compared to the same quarter in 2020 due to the impact of Covid-19 on state workload</w:t>
      </w:r>
      <w:r w:rsidRPr="00C93D16">
        <w:t>.</w:t>
      </w:r>
    </w:p>
    <w:p w14:paraId="19711D68" w14:textId="77777777" w:rsidR="00952F94" w:rsidRPr="00C93D16" w:rsidRDefault="00952F94" w:rsidP="00952F94"/>
    <w:p w14:paraId="2381EB5C" w14:textId="77777777" w:rsidR="00952F94" w:rsidRPr="00C93D16" w:rsidRDefault="00952F94" w:rsidP="00952F94"/>
    <w:p w14:paraId="4A2EF453" w14:textId="77777777" w:rsidR="00952F94" w:rsidRPr="00C93D16" w:rsidRDefault="00952F94" w:rsidP="00952F94"/>
    <w:p w14:paraId="065FEE12" w14:textId="77777777" w:rsidR="00952F94" w:rsidRPr="00C93D16" w:rsidRDefault="00952F94" w:rsidP="00952F94"/>
    <w:p w14:paraId="293CDAD1" w14:textId="77777777" w:rsidR="00952F94" w:rsidRPr="00C93D16" w:rsidRDefault="00952F94" w:rsidP="00952F94"/>
    <w:p w14:paraId="1EA35932" w14:textId="77777777" w:rsidR="00952F94" w:rsidRPr="00C93D16" w:rsidRDefault="00952F94" w:rsidP="00952F94">
      <w:r>
        <w:rPr>
          <w:noProof/>
        </w:rPr>
        <w:lastRenderedPageBreak/>
        <w:drawing>
          <wp:inline distT="0" distB="0" distL="0" distR="0" wp14:anchorId="53561F26" wp14:editId="29F5E0C7">
            <wp:extent cx="6688138" cy="3613151"/>
            <wp:effectExtent l="0" t="0" r="17780" b="6350"/>
            <wp:docPr id="138578523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BA1A1C3" w14:textId="77777777" w:rsidR="00952F94" w:rsidRDefault="00952F94" w:rsidP="00952F94">
      <w:r w:rsidRPr="00C93D16">
        <w:t xml:space="preserve">In the </w:t>
      </w:r>
      <w:r>
        <w:t>1</w:t>
      </w:r>
      <w:r w:rsidRPr="003B2400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>
        <w:t>48.4</w:t>
      </w:r>
      <w:r w:rsidRPr="00C93D16">
        <w:t xml:space="preserve">% of the determinations involving separation issues resulted in a denial of UI benefits, and </w:t>
      </w:r>
      <w:r>
        <w:t>51.6</w:t>
      </w:r>
      <w:r w:rsidRPr="00C93D16">
        <w:t xml:space="preserve">% of the determinations concluded that the claimant was eligible for benefits. </w:t>
      </w:r>
      <w:r w:rsidRPr="002E6279">
        <w:t>This</w:t>
      </w:r>
      <w:r>
        <w:t xml:space="preserve"> </w:t>
      </w:r>
      <w:r w:rsidRPr="004C70E4">
        <w:t xml:space="preserve">ratio in the </w:t>
      </w:r>
      <w:r>
        <w:t>1</w:t>
      </w:r>
      <w:r w:rsidRPr="003B2400">
        <w:rPr>
          <w:vertAlign w:val="superscript"/>
        </w:rPr>
        <w:t>st</w:t>
      </w:r>
      <w:r>
        <w:t xml:space="preserve"> </w:t>
      </w:r>
      <w:r w:rsidRPr="004C70E4">
        <w:t>quarter of 202</w:t>
      </w:r>
      <w:r>
        <w:t>4</w:t>
      </w:r>
      <w:r w:rsidRPr="004C70E4">
        <w:t xml:space="preserve"> </w:t>
      </w:r>
      <w:r>
        <w:t>is concluding that almost half of</w:t>
      </w:r>
      <w:r w:rsidRPr="004C70E4">
        <w:t xml:space="preserve"> determinations claimants </w:t>
      </w:r>
      <w:r>
        <w:t>are</w:t>
      </w:r>
      <w:r w:rsidRPr="004C70E4">
        <w:t xml:space="preserve"> </w:t>
      </w:r>
      <w:r>
        <w:t xml:space="preserve">both eligible and not </w:t>
      </w:r>
      <w:r w:rsidRPr="004C70E4">
        <w:t>eligible for benefits</w:t>
      </w:r>
      <w:r>
        <w:t>.</w:t>
      </w:r>
    </w:p>
    <w:p w14:paraId="02C7A470" w14:textId="77777777" w:rsidR="00952F94" w:rsidRPr="00C93D16" w:rsidRDefault="00952F94" w:rsidP="00952F94">
      <w:r>
        <w:rPr>
          <w:noProof/>
        </w:rPr>
        <w:drawing>
          <wp:inline distT="0" distB="0" distL="0" distR="0" wp14:anchorId="58BD0251" wp14:editId="660EB6F7">
            <wp:extent cx="6694488" cy="3613151"/>
            <wp:effectExtent l="0" t="0" r="11430" b="6350"/>
            <wp:docPr id="67195874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Pr="002E6279">
        <w:t xml:space="preserve"> </w:t>
      </w:r>
    </w:p>
    <w:p w14:paraId="3FFC140F" w14:textId="77777777" w:rsidR="00952F94" w:rsidRPr="00C93D16" w:rsidRDefault="00952F94" w:rsidP="00952F94">
      <w:r w:rsidRPr="00C93D16">
        <w:t xml:space="preserve">In the </w:t>
      </w:r>
      <w:r>
        <w:t>1</w:t>
      </w:r>
      <w:r w:rsidRPr="003B2400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>
        <w:t>88.5</w:t>
      </w:r>
      <w:r w:rsidRPr="00C93D16">
        <w:t xml:space="preserve">% of the determinations involving nonseparation issues resulted in a denial of UI benefits, while the claimant was found to be eligible for benefits in only </w:t>
      </w:r>
      <w:r>
        <w:t>11.5</w:t>
      </w:r>
      <w:r w:rsidRPr="00C93D16">
        <w:t xml:space="preserve">% of nonseparation determinations. </w:t>
      </w:r>
      <w:r>
        <w:t>Although workload increased significantly starting with the 2</w:t>
      </w:r>
      <w:r w:rsidRPr="00F7315F">
        <w:rPr>
          <w:vertAlign w:val="superscript"/>
        </w:rPr>
        <w:t>nd</w:t>
      </w:r>
      <w:r>
        <w:t xml:space="preserve"> quarter of 2020 due to the impact of Covid-19, the ratio of denials to eligible claims remains similar for nonseparation issues.</w:t>
      </w:r>
    </w:p>
    <w:p w14:paraId="449A6635" w14:textId="77777777" w:rsidR="00952F94" w:rsidRPr="00C93D16" w:rsidRDefault="00952F94" w:rsidP="00952F94">
      <w:r>
        <w:rPr>
          <w:noProof/>
        </w:rPr>
        <w:lastRenderedPageBreak/>
        <w:drawing>
          <wp:inline distT="0" distB="0" distL="0" distR="0" wp14:anchorId="5D8DFDE4" wp14:editId="2B51FDB4">
            <wp:extent cx="6725920" cy="3581400"/>
            <wp:effectExtent l="0" t="0" r="17780" b="0"/>
            <wp:docPr id="117672800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24FD92A" w14:textId="77777777" w:rsidR="00952F94" w:rsidRPr="00C93D16" w:rsidRDefault="00952F94" w:rsidP="00952F94">
      <w:r w:rsidRPr="00C93D16">
        <w:t xml:space="preserve">In the </w:t>
      </w:r>
      <w:r>
        <w:t>1</w:t>
      </w:r>
      <w:r w:rsidRPr="003B2400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>
        <w:t>68.3</w:t>
      </w:r>
      <w:r w:rsidRPr="00C93D16">
        <w:t xml:space="preserve">% of the determinations involving separation issues due to </w:t>
      </w:r>
      <w:r>
        <w:t>discharge</w:t>
      </w:r>
      <w:r w:rsidRPr="00C93D16">
        <w:t xml:space="preserve">, </w:t>
      </w:r>
      <w:r>
        <w:t>31.6</w:t>
      </w:r>
      <w:r w:rsidRPr="00C93D16">
        <w:t xml:space="preserve">% </w:t>
      </w:r>
      <w:r>
        <w:t xml:space="preserve">were </w:t>
      </w:r>
      <w:r w:rsidRPr="00C93D16">
        <w:t>due</w:t>
      </w:r>
      <w:r>
        <w:t xml:space="preserve"> </w:t>
      </w:r>
      <w:r w:rsidRPr="00C93D16">
        <w:t xml:space="preserve">to </w:t>
      </w:r>
      <w:r>
        <w:t>voluntary leave</w:t>
      </w:r>
      <w:r w:rsidRPr="00C93D16">
        <w:t xml:space="preserve">, and </w:t>
      </w:r>
      <w:r>
        <w:t>0.1</w:t>
      </w:r>
      <w:r w:rsidRPr="00C93D16">
        <w:t>% due to other reasons.</w:t>
      </w:r>
      <w:r>
        <w:t xml:space="preserve"> </w:t>
      </w:r>
    </w:p>
    <w:p w14:paraId="7C4B1F42" w14:textId="77777777" w:rsidR="00952F94" w:rsidRPr="00C93D16" w:rsidRDefault="00952F94" w:rsidP="00952F94">
      <w:r>
        <w:rPr>
          <w:noProof/>
        </w:rPr>
        <w:drawing>
          <wp:inline distT="0" distB="0" distL="0" distR="0" wp14:anchorId="037EAF1F" wp14:editId="2E10EBBD">
            <wp:extent cx="6735445" cy="3810000"/>
            <wp:effectExtent l="0" t="0" r="8255" b="0"/>
            <wp:docPr id="93436826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8FB22AE" w14:textId="77777777" w:rsidR="00952F94" w:rsidRPr="00C93D16" w:rsidRDefault="00952F94" w:rsidP="00952F94">
      <w:r w:rsidRPr="00C93D16">
        <w:t xml:space="preserve">In the </w:t>
      </w:r>
      <w:r>
        <w:t>1</w:t>
      </w:r>
      <w:r w:rsidRPr="002B281D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>
        <w:t>78.2</w:t>
      </w:r>
      <w:r w:rsidRPr="00C93D16">
        <w:t xml:space="preserve">% of the determinations where the claimant </w:t>
      </w:r>
      <w:r>
        <w:t xml:space="preserve">voluntary </w:t>
      </w:r>
      <w:r w:rsidRPr="00C93D16">
        <w:t>left the job</w:t>
      </w:r>
      <w:r>
        <w:t>,</w:t>
      </w:r>
      <w:r w:rsidRPr="00C93D16">
        <w:t xml:space="preserve"> resu</w:t>
      </w:r>
      <w:r>
        <w:t>lted in a denial of eligibility.  In contrast,</w:t>
      </w:r>
      <w:r w:rsidRPr="00C93D16">
        <w:t xml:space="preserve"> states issued denials for only </w:t>
      </w:r>
      <w:r>
        <w:t>34.6%</w:t>
      </w:r>
      <w:r w:rsidRPr="00C93D16">
        <w:t xml:space="preserve"> of the determinations where the claimant was discharged from the job.</w:t>
      </w:r>
    </w:p>
    <w:p w14:paraId="056E6939" w14:textId="77777777" w:rsidR="00952F94" w:rsidRPr="00C93D16" w:rsidRDefault="00952F94" w:rsidP="00952F94">
      <w:r>
        <w:rPr>
          <w:noProof/>
        </w:rPr>
        <w:lastRenderedPageBreak/>
        <w:drawing>
          <wp:inline distT="0" distB="0" distL="0" distR="0" wp14:anchorId="5A308355" wp14:editId="21F0BC32">
            <wp:extent cx="6802120" cy="3371850"/>
            <wp:effectExtent l="0" t="0" r="17780" b="0"/>
            <wp:docPr id="69478110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7C7546B" w14:textId="77777777" w:rsidR="00952F94" w:rsidRPr="00C93D16" w:rsidRDefault="00952F94" w:rsidP="00952F94">
      <w:r w:rsidRPr="00C93D16">
        <w:t xml:space="preserve">In the </w:t>
      </w:r>
      <w:r>
        <w:t>1</w:t>
      </w:r>
      <w:r w:rsidRPr="002B281D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4</w:t>
      </w:r>
      <w:r w:rsidRPr="00C93D16">
        <w:t>, the largest category of nonseparation determinations (</w:t>
      </w:r>
      <w:r>
        <w:t>43.9</w:t>
      </w:r>
      <w:r w:rsidRPr="00C93D16">
        <w:t xml:space="preserve">%) </w:t>
      </w:r>
      <w:r>
        <w:t>was</w:t>
      </w:r>
      <w:r w:rsidRPr="00602AEE">
        <w:t xml:space="preserve"> </w:t>
      </w:r>
      <w:r>
        <w:t xml:space="preserve">the </w:t>
      </w:r>
      <w:r w:rsidRPr="00C93D16">
        <w:t>reporting requirement call-ins and other.  The second largest category</w:t>
      </w:r>
      <w:r>
        <w:t xml:space="preserve"> (30.9%) was</w:t>
      </w:r>
      <w:r w:rsidRPr="00C93D16">
        <w:t xml:space="preserve"> </w:t>
      </w:r>
      <w:r>
        <w:t>able, available, actively seeking employment,</w:t>
      </w:r>
      <w:r w:rsidRPr="002E6279">
        <w:t xml:space="preserve"> </w:t>
      </w:r>
      <w:r>
        <w:t xml:space="preserve">which is like 2019 and earlier. </w:t>
      </w:r>
    </w:p>
    <w:p w14:paraId="34FE8D39" w14:textId="77777777" w:rsidR="00952F94" w:rsidRPr="00C93D16" w:rsidRDefault="00952F94" w:rsidP="00952F94">
      <w:r>
        <w:rPr>
          <w:noProof/>
        </w:rPr>
        <w:drawing>
          <wp:inline distT="0" distB="0" distL="0" distR="0" wp14:anchorId="1D747E4B" wp14:editId="7B24004C">
            <wp:extent cx="6667500" cy="3486150"/>
            <wp:effectExtent l="0" t="0" r="0" b="0"/>
            <wp:docPr id="124968952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47CA364" w14:textId="77777777" w:rsidR="00952F94" w:rsidRDefault="00952F94" w:rsidP="00952F94">
      <w:r w:rsidRPr="00C93D16">
        <w:t xml:space="preserve">In the </w:t>
      </w:r>
      <w:r>
        <w:t>1</w:t>
      </w:r>
      <w:r w:rsidRPr="002B281D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4</w:t>
      </w:r>
      <w:r w:rsidRPr="00C93D16">
        <w:t>, the category of nonseparation determinations with the highest denial rate was “Disqualifying/Deductible Income” with 100%, followed by</w:t>
      </w:r>
      <w:r>
        <w:t xml:space="preserve"> </w:t>
      </w:r>
      <w:r w:rsidRPr="00C93D16">
        <w:t>“</w:t>
      </w:r>
      <w:r>
        <w:t>Reporting Requirement Call-ins and Other</w:t>
      </w:r>
      <w:r w:rsidRPr="00C93D16">
        <w:t xml:space="preserve">” with </w:t>
      </w:r>
      <w:r>
        <w:t>93.1</w:t>
      </w:r>
      <w:r w:rsidRPr="00C93D16">
        <w:t>%</w:t>
      </w:r>
      <w:r>
        <w:t xml:space="preserve"> and </w:t>
      </w:r>
      <w:r w:rsidRPr="00C93D16">
        <w:t>“</w:t>
      </w:r>
      <w:r>
        <w:t>Able, Available, Actively Seeking</w:t>
      </w:r>
      <w:r w:rsidRPr="00C93D16">
        <w:t xml:space="preserve">” with </w:t>
      </w:r>
      <w:r>
        <w:t>87.7</w:t>
      </w:r>
      <w:r w:rsidRPr="00C93D16">
        <w:t>%</w:t>
      </w:r>
      <w:r>
        <w:t>.</w:t>
      </w:r>
    </w:p>
    <w:bookmarkEnd w:id="1"/>
    <w:p w14:paraId="6AE75B93" w14:textId="77777777" w:rsidR="00952F94" w:rsidRDefault="00952F94" w:rsidP="00952F94">
      <w:pPr>
        <w:spacing w:after="100" w:afterAutospacing="1"/>
        <w:rPr>
          <w:b/>
        </w:rPr>
      </w:pPr>
    </w:p>
    <w:p w14:paraId="149343CD" w14:textId="15003C2B" w:rsidR="00041F7A" w:rsidRDefault="00041F7A">
      <w:r w:rsidRPr="006C7B31">
        <w:rPr>
          <w:i/>
          <w:sz w:val="20"/>
          <w:szCs w:val="20"/>
        </w:rPr>
        <w:t>This report was produced on</w:t>
      </w:r>
      <w:r w:rsidR="00CE43B9">
        <w:rPr>
          <w:i/>
          <w:sz w:val="20"/>
          <w:szCs w:val="20"/>
        </w:rPr>
        <w:t xml:space="preserve"> </w:t>
      </w:r>
      <w:r w:rsidR="00952F94">
        <w:rPr>
          <w:i/>
          <w:sz w:val="20"/>
          <w:szCs w:val="20"/>
        </w:rPr>
        <w:t>6</w:t>
      </w:r>
      <w:r w:rsidR="00BE0B1E">
        <w:rPr>
          <w:i/>
          <w:sz w:val="20"/>
          <w:szCs w:val="20"/>
        </w:rPr>
        <w:t>/</w:t>
      </w:r>
      <w:r w:rsidR="00952F94">
        <w:rPr>
          <w:i/>
          <w:sz w:val="20"/>
          <w:szCs w:val="20"/>
        </w:rPr>
        <w:t>7</w:t>
      </w:r>
      <w:r>
        <w:rPr>
          <w:i/>
          <w:sz w:val="20"/>
          <w:szCs w:val="20"/>
        </w:rPr>
        <w:t>/202</w:t>
      </w:r>
      <w:r w:rsidR="00420D21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041F7A" w:rsidSect="004543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7A"/>
    <w:rsid w:val="0004075F"/>
    <w:rsid w:val="00041F7A"/>
    <w:rsid w:val="00045F06"/>
    <w:rsid w:val="000768EF"/>
    <w:rsid w:val="0012691F"/>
    <w:rsid w:val="001E1C99"/>
    <w:rsid w:val="002D3538"/>
    <w:rsid w:val="002D6AC7"/>
    <w:rsid w:val="00401789"/>
    <w:rsid w:val="00420D21"/>
    <w:rsid w:val="0045432A"/>
    <w:rsid w:val="00477C49"/>
    <w:rsid w:val="00490459"/>
    <w:rsid w:val="004C6F9C"/>
    <w:rsid w:val="004D7091"/>
    <w:rsid w:val="0052310C"/>
    <w:rsid w:val="00590E37"/>
    <w:rsid w:val="00680C14"/>
    <w:rsid w:val="006A5C5D"/>
    <w:rsid w:val="00790749"/>
    <w:rsid w:val="0079233F"/>
    <w:rsid w:val="007A6221"/>
    <w:rsid w:val="008712D0"/>
    <w:rsid w:val="00946B2E"/>
    <w:rsid w:val="00952F94"/>
    <w:rsid w:val="00977758"/>
    <w:rsid w:val="00B95303"/>
    <w:rsid w:val="00BB1081"/>
    <w:rsid w:val="00BE0B1E"/>
    <w:rsid w:val="00C33BDC"/>
    <w:rsid w:val="00CE43B9"/>
    <w:rsid w:val="00D25AF7"/>
    <w:rsid w:val="00D425D9"/>
    <w:rsid w:val="00D46E6B"/>
    <w:rsid w:val="00D96A47"/>
    <w:rsid w:val="00E1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8242"/>
  <w15:chartTrackingRefBased/>
  <w15:docId w15:val="{B6B53AE2-C6B2-4EEE-87A7-B65326DA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7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fontTable" Target="fontTable.xml"/><Relationship Id="rId5" Type="http://schemas.openxmlformats.org/officeDocument/2006/relationships/chart" Target="charts/chart2.xml"/><Relationship Id="rId15" Type="http://schemas.openxmlformats.org/officeDocument/2006/relationships/customXml" Target="../customXml/item3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ustomXml" Target="../customXml/item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Workload_ar207!$B$4</c:f>
              <c:strCache>
                <c:ptCount val="1"/>
                <c:pt idx="0">
                  <c:v>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2019.2</c:v>
                </c:pt>
                <c:pt idx="1">
                  <c:v>2019.3</c:v>
                </c:pt>
                <c:pt idx="2" formatCode="0.0">
                  <c:v>2019.4</c:v>
                </c:pt>
                <c:pt idx="3" formatCode="0.0">
                  <c:v>2020.1</c:v>
                </c:pt>
                <c:pt idx="4" formatCode="0.0">
                  <c:v>2020.2</c:v>
                </c:pt>
                <c:pt idx="5" formatCode="0.0">
                  <c:v>2020.3</c:v>
                </c:pt>
                <c:pt idx="6" formatCode="0.0">
                  <c:v>2020.4</c:v>
                </c:pt>
                <c:pt idx="7" formatCode="0.0">
                  <c:v>2021.1</c:v>
                </c:pt>
                <c:pt idx="8" formatCode="0.0">
                  <c:v>2021.2</c:v>
                </c:pt>
                <c:pt idx="9" formatCode="0.0">
                  <c:v>2021.3</c:v>
                </c:pt>
                <c:pt idx="10" formatCode="0.0">
                  <c:v>2021.4</c:v>
                </c:pt>
                <c:pt idx="11" formatCode="0.0">
                  <c:v>2022.1</c:v>
                </c:pt>
                <c:pt idx="12" formatCode="0.0">
                  <c:v>2022.2</c:v>
                </c:pt>
                <c:pt idx="13" formatCode="0.0">
                  <c:v>2022.3</c:v>
                </c:pt>
                <c:pt idx="14" formatCode="0.0">
                  <c:v>2022.4</c:v>
                </c:pt>
                <c:pt idx="15" formatCode="0.0">
                  <c:v>2023.1</c:v>
                </c:pt>
                <c:pt idx="16" formatCode="0.0">
                  <c:v>2023.2</c:v>
                </c:pt>
                <c:pt idx="17" formatCode="0.0">
                  <c:v>2023.3</c:v>
                </c:pt>
                <c:pt idx="18" formatCode="0.0">
                  <c:v>2023.4</c:v>
                </c:pt>
                <c:pt idx="19" formatCode="0.0">
                  <c:v>2024.1</c:v>
                </c:pt>
              </c:numCache>
            </c:numRef>
          </c:cat>
          <c:val>
            <c:numRef>
              <c:f>Workload_ar207!$B$5:$B$24</c:f>
              <c:numCache>
                <c:formatCode>#,##0</c:formatCode>
                <c:ptCount val="20"/>
                <c:pt idx="0">
                  <c:v>733695</c:v>
                </c:pt>
                <c:pt idx="1">
                  <c:v>754174</c:v>
                </c:pt>
                <c:pt idx="2">
                  <c:v>713426</c:v>
                </c:pt>
                <c:pt idx="3">
                  <c:v>707828</c:v>
                </c:pt>
                <c:pt idx="4">
                  <c:v>1296776</c:v>
                </c:pt>
                <c:pt idx="5">
                  <c:v>1032490</c:v>
                </c:pt>
                <c:pt idx="6">
                  <c:v>851009</c:v>
                </c:pt>
                <c:pt idx="7">
                  <c:v>877141</c:v>
                </c:pt>
                <c:pt idx="8">
                  <c:v>815832</c:v>
                </c:pt>
                <c:pt idx="9">
                  <c:v>785757</c:v>
                </c:pt>
                <c:pt idx="10">
                  <c:v>750394</c:v>
                </c:pt>
                <c:pt idx="11">
                  <c:v>783883</c:v>
                </c:pt>
                <c:pt idx="12">
                  <c:v>755953</c:v>
                </c:pt>
                <c:pt idx="13">
                  <c:v>774283</c:v>
                </c:pt>
                <c:pt idx="14">
                  <c:v>712340</c:v>
                </c:pt>
                <c:pt idx="15">
                  <c:v>755642</c:v>
                </c:pt>
                <c:pt idx="16">
                  <c:v>751082</c:v>
                </c:pt>
                <c:pt idx="17">
                  <c:v>739570</c:v>
                </c:pt>
                <c:pt idx="18">
                  <c:v>742956</c:v>
                </c:pt>
                <c:pt idx="19">
                  <c:v>771156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E32-44F1-84D1-ACD9900E960E}"/>
            </c:ext>
          </c:extLst>
        </c:ser>
        <c:ser>
          <c:idx val="2"/>
          <c:order val="1"/>
          <c:tx>
            <c:strRef>
              <c:f>Workload_ar207!$C$4</c:f>
              <c:strCache>
                <c:ptCount val="1"/>
                <c:pt idx="0">
                  <c:v>Nonseparations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2019.2</c:v>
                </c:pt>
                <c:pt idx="1">
                  <c:v>2019.3</c:v>
                </c:pt>
                <c:pt idx="2" formatCode="0.0">
                  <c:v>2019.4</c:v>
                </c:pt>
                <c:pt idx="3" formatCode="0.0">
                  <c:v>2020.1</c:v>
                </c:pt>
                <c:pt idx="4" formatCode="0.0">
                  <c:v>2020.2</c:v>
                </c:pt>
                <c:pt idx="5" formatCode="0.0">
                  <c:v>2020.3</c:v>
                </c:pt>
                <c:pt idx="6" formatCode="0.0">
                  <c:v>2020.4</c:v>
                </c:pt>
                <c:pt idx="7" formatCode="0.0">
                  <c:v>2021.1</c:v>
                </c:pt>
                <c:pt idx="8" formatCode="0.0">
                  <c:v>2021.2</c:v>
                </c:pt>
                <c:pt idx="9" formatCode="0.0">
                  <c:v>2021.3</c:v>
                </c:pt>
                <c:pt idx="10" formatCode="0.0">
                  <c:v>2021.4</c:v>
                </c:pt>
                <c:pt idx="11" formatCode="0.0">
                  <c:v>2022.1</c:v>
                </c:pt>
                <c:pt idx="12" formatCode="0.0">
                  <c:v>2022.2</c:v>
                </c:pt>
                <c:pt idx="13" formatCode="0.0">
                  <c:v>2022.3</c:v>
                </c:pt>
                <c:pt idx="14" formatCode="0.0">
                  <c:v>2022.4</c:v>
                </c:pt>
                <c:pt idx="15" formatCode="0.0">
                  <c:v>2023.1</c:v>
                </c:pt>
                <c:pt idx="16" formatCode="0.0">
                  <c:v>2023.2</c:v>
                </c:pt>
                <c:pt idx="17" formatCode="0.0">
                  <c:v>2023.3</c:v>
                </c:pt>
                <c:pt idx="18" formatCode="0.0">
                  <c:v>2023.4</c:v>
                </c:pt>
                <c:pt idx="19" formatCode="0.0">
                  <c:v>2024.1</c:v>
                </c:pt>
              </c:numCache>
            </c:numRef>
          </c:cat>
          <c:val>
            <c:numRef>
              <c:f>Workload_ar207!$C$5:$C$24</c:f>
              <c:numCache>
                <c:formatCode>#,##0</c:formatCode>
                <c:ptCount val="20"/>
                <c:pt idx="0">
                  <c:v>762509</c:v>
                </c:pt>
                <c:pt idx="1">
                  <c:v>774406</c:v>
                </c:pt>
                <c:pt idx="2">
                  <c:v>724932</c:v>
                </c:pt>
                <c:pt idx="3">
                  <c:v>804475</c:v>
                </c:pt>
                <c:pt idx="4">
                  <c:v>1577914</c:v>
                </c:pt>
                <c:pt idx="5">
                  <c:v>1554526</c:v>
                </c:pt>
                <c:pt idx="6">
                  <c:v>1520077</c:v>
                </c:pt>
                <c:pt idx="7">
                  <c:v>1363166</c:v>
                </c:pt>
                <c:pt idx="8">
                  <c:v>1736749</c:v>
                </c:pt>
                <c:pt idx="9">
                  <c:v>1759659</c:v>
                </c:pt>
                <c:pt idx="10">
                  <c:v>1399459</c:v>
                </c:pt>
                <c:pt idx="11">
                  <c:v>1399145</c:v>
                </c:pt>
                <c:pt idx="12">
                  <c:v>1099205</c:v>
                </c:pt>
                <c:pt idx="13">
                  <c:v>1053933</c:v>
                </c:pt>
                <c:pt idx="14">
                  <c:v>905475</c:v>
                </c:pt>
                <c:pt idx="15">
                  <c:v>1051508</c:v>
                </c:pt>
                <c:pt idx="16">
                  <c:v>991016</c:v>
                </c:pt>
                <c:pt idx="17">
                  <c:v>960014</c:v>
                </c:pt>
                <c:pt idx="18">
                  <c:v>947967</c:v>
                </c:pt>
                <c:pt idx="19">
                  <c:v>1163337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E32-44F1-84D1-ACD9900E96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652032"/>
        <c:axId val="132654208"/>
      </c:barChart>
      <c:catAx>
        <c:axId val="1326520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654208"/>
        <c:crosses val="autoZero"/>
        <c:auto val="1"/>
        <c:lblAlgn val="ctr"/>
        <c:lblOffset val="100"/>
        <c:noMultiLvlLbl val="0"/>
      </c:catAx>
      <c:valAx>
        <c:axId val="13265420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652032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Workload_ar207!$B$29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2019.2</c:v>
                </c:pt>
                <c:pt idx="1">
                  <c:v>2019.3</c:v>
                </c:pt>
                <c:pt idx="2">
                  <c:v>2019.4</c:v>
                </c:pt>
                <c:pt idx="3" formatCode="0.0">
                  <c:v>2020.1</c:v>
                </c:pt>
                <c:pt idx="4" formatCode="0.0">
                  <c:v>2020.2</c:v>
                </c:pt>
                <c:pt idx="5" formatCode="0.0">
                  <c:v>2020.3</c:v>
                </c:pt>
                <c:pt idx="6" formatCode="0.0">
                  <c:v>2020.4</c:v>
                </c:pt>
                <c:pt idx="7" formatCode="0.0">
                  <c:v>2021.1</c:v>
                </c:pt>
                <c:pt idx="8" formatCode="0.0">
                  <c:v>2021.2</c:v>
                </c:pt>
                <c:pt idx="9" formatCode="0.0">
                  <c:v>2021.3</c:v>
                </c:pt>
                <c:pt idx="10" formatCode="0.0">
                  <c:v>2021.4</c:v>
                </c:pt>
                <c:pt idx="11" formatCode="0.0">
                  <c:v>2022.1</c:v>
                </c:pt>
                <c:pt idx="12" formatCode="0.0">
                  <c:v>2022.2</c:v>
                </c:pt>
                <c:pt idx="13" formatCode="0.0">
                  <c:v>2022.3</c:v>
                </c:pt>
                <c:pt idx="14" formatCode="0.0">
                  <c:v>2022.4</c:v>
                </c:pt>
                <c:pt idx="15" formatCode="0.0">
                  <c:v>2023.1</c:v>
                </c:pt>
                <c:pt idx="16" formatCode="0.0">
                  <c:v>2023.2</c:v>
                </c:pt>
                <c:pt idx="17" formatCode="0.0">
                  <c:v>2023.3</c:v>
                </c:pt>
                <c:pt idx="18" formatCode="0.0">
                  <c:v>2023.4</c:v>
                </c:pt>
                <c:pt idx="19" formatCode="0.0">
                  <c:v>2024.1</c:v>
                </c:pt>
              </c:numCache>
            </c:numRef>
          </c:cat>
          <c:val>
            <c:numRef>
              <c:f>Workload_ar207!$B$30:$B$49</c:f>
              <c:numCache>
                <c:formatCode>#,##0</c:formatCode>
                <c:ptCount val="20"/>
                <c:pt idx="0">
                  <c:v>350047</c:v>
                </c:pt>
                <c:pt idx="1">
                  <c:v>361597</c:v>
                </c:pt>
                <c:pt idx="2">
                  <c:v>340041</c:v>
                </c:pt>
                <c:pt idx="3">
                  <c:v>332337</c:v>
                </c:pt>
                <c:pt idx="4">
                  <c:v>479055</c:v>
                </c:pt>
                <c:pt idx="5">
                  <c:v>643872</c:v>
                </c:pt>
                <c:pt idx="6">
                  <c:v>521453</c:v>
                </c:pt>
                <c:pt idx="7">
                  <c:v>518299</c:v>
                </c:pt>
                <c:pt idx="8">
                  <c:v>481353</c:v>
                </c:pt>
                <c:pt idx="9">
                  <c:v>452207</c:v>
                </c:pt>
                <c:pt idx="10">
                  <c:v>430138</c:v>
                </c:pt>
                <c:pt idx="11">
                  <c:v>439567</c:v>
                </c:pt>
                <c:pt idx="12">
                  <c:v>421902</c:v>
                </c:pt>
                <c:pt idx="13">
                  <c:v>415688</c:v>
                </c:pt>
                <c:pt idx="14">
                  <c:v>353282</c:v>
                </c:pt>
                <c:pt idx="15">
                  <c:v>373483</c:v>
                </c:pt>
                <c:pt idx="16">
                  <c:v>356387</c:v>
                </c:pt>
                <c:pt idx="17">
                  <c:v>364892</c:v>
                </c:pt>
                <c:pt idx="18">
                  <c:v>360910</c:v>
                </c:pt>
                <c:pt idx="19">
                  <c:v>372964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D41-4860-8467-7234FF6059BB}"/>
            </c:ext>
          </c:extLst>
        </c:ser>
        <c:ser>
          <c:idx val="2"/>
          <c:order val="1"/>
          <c:tx>
            <c:strRef>
              <c:f>Workload_ar207!$C$29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2019.2</c:v>
                </c:pt>
                <c:pt idx="1">
                  <c:v>2019.3</c:v>
                </c:pt>
                <c:pt idx="2">
                  <c:v>2019.4</c:v>
                </c:pt>
                <c:pt idx="3" formatCode="0.0">
                  <c:v>2020.1</c:v>
                </c:pt>
                <c:pt idx="4" formatCode="0.0">
                  <c:v>2020.2</c:v>
                </c:pt>
                <c:pt idx="5" formatCode="0.0">
                  <c:v>2020.3</c:v>
                </c:pt>
                <c:pt idx="6" formatCode="0.0">
                  <c:v>2020.4</c:v>
                </c:pt>
                <c:pt idx="7" formatCode="0.0">
                  <c:v>2021.1</c:v>
                </c:pt>
                <c:pt idx="8" formatCode="0.0">
                  <c:v>2021.2</c:v>
                </c:pt>
                <c:pt idx="9" formatCode="0.0">
                  <c:v>2021.3</c:v>
                </c:pt>
                <c:pt idx="10" formatCode="0.0">
                  <c:v>2021.4</c:v>
                </c:pt>
                <c:pt idx="11" formatCode="0.0">
                  <c:v>2022.1</c:v>
                </c:pt>
                <c:pt idx="12" formatCode="0.0">
                  <c:v>2022.2</c:v>
                </c:pt>
                <c:pt idx="13" formatCode="0.0">
                  <c:v>2022.3</c:v>
                </c:pt>
                <c:pt idx="14" formatCode="0.0">
                  <c:v>2022.4</c:v>
                </c:pt>
                <c:pt idx="15" formatCode="0.0">
                  <c:v>2023.1</c:v>
                </c:pt>
                <c:pt idx="16" formatCode="0.0">
                  <c:v>2023.2</c:v>
                </c:pt>
                <c:pt idx="17" formatCode="0.0">
                  <c:v>2023.3</c:v>
                </c:pt>
                <c:pt idx="18" formatCode="0.0">
                  <c:v>2023.4</c:v>
                </c:pt>
                <c:pt idx="19" formatCode="0.0">
                  <c:v>2024.1</c:v>
                </c:pt>
              </c:numCache>
            </c:numRef>
          </c:cat>
          <c:val>
            <c:numRef>
              <c:f>Workload_ar207!$C$30:$C$49</c:f>
              <c:numCache>
                <c:formatCode>#,##0</c:formatCode>
                <c:ptCount val="20"/>
                <c:pt idx="0">
                  <c:v>383648</c:v>
                </c:pt>
                <c:pt idx="1">
                  <c:v>392577</c:v>
                </c:pt>
                <c:pt idx="2">
                  <c:v>373385</c:v>
                </c:pt>
                <c:pt idx="3">
                  <c:v>375491</c:v>
                </c:pt>
                <c:pt idx="4">
                  <c:v>817721</c:v>
                </c:pt>
                <c:pt idx="5">
                  <c:v>388618</c:v>
                </c:pt>
                <c:pt idx="6">
                  <c:v>329556</c:v>
                </c:pt>
                <c:pt idx="7">
                  <c:v>358842</c:v>
                </c:pt>
                <c:pt idx="8">
                  <c:v>334479</c:v>
                </c:pt>
                <c:pt idx="9">
                  <c:v>333550</c:v>
                </c:pt>
                <c:pt idx="10">
                  <c:v>320256</c:v>
                </c:pt>
                <c:pt idx="11">
                  <c:v>344316</c:v>
                </c:pt>
                <c:pt idx="12">
                  <c:v>334051</c:v>
                </c:pt>
                <c:pt idx="13">
                  <c:v>358595</c:v>
                </c:pt>
                <c:pt idx="14">
                  <c:v>359058</c:v>
                </c:pt>
                <c:pt idx="15">
                  <c:v>382159</c:v>
                </c:pt>
                <c:pt idx="16">
                  <c:v>394695</c:v>
                </c:pt>
                <c:pt idx="17">
                  <c:v>374678</c:v>
                </c:pt>
                <c:pt idx="18">
                  <c:v>382046</c:v>
                </c:pt>
                <c:pt idx="19">
                  <c:v>398192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D41-4860-8467-7234FF6059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700416"/>
        <c:axId val="132702592"/>
      </c:barChart>
      <c:catAx>
        <c:axId val="1327004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702592"/>
        <c:crosses val="autoZero"/>
        <c:auto val="1"/>
        <c:lblAlgn val="ctr"/>
        <c:lblOffset val="100"/>
        <c:noMultiLvlLbl val="0"/>
      </c:catAx>
      <c:valAx>
        <c:axId val="13270259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70041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Nonseparation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Workload_ar207!$B$54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2019.2</c:v>
                </c:pt>
                <c:pt idx="1">
                  <c:v>2019.3</c:v>
                </c:pt>
                <c:pt idx="2">
                  <c:v>2019.4</c:v>
                </c:pt>
                <c:pt idx="3" formatCode="0.0">
                  <c:v>2020.1</c:v>
                </c:pt>
                <c:pt idx="4" formatCode="0.0">
                  <c:v>2020.2</c:v>
                </c:pt>
                <c:pt idx="5" formatCode="0.0">
                  <c:v>2020.3</c:v>
                </c:pt>
                <c:pt idx="6" formatCode="0.0">
                  <c:v>2020.4</c:v>
                </c:pt>
                <c:pt idx="7" formatCode="0.0">
                  <c:v>2021.1</c:v>
                </c:pt>
                <c:pt idx="8" formatCode="0.0">
                  <c:v>2021.2</c:v>
                </c:pt>
                <c:pt idx="9" formatCode="0.0">
                  <c:v>2021.3</c:v>
                </c:pt>
                <c:pt idx="10" formatCode="0.0">
                  <c:v>2021.4</c:v>
                </c:pt>
                <c:pt idx="11" formatCode="0.0">
                  <c:v>2022.1</c:v>
                </c:pt>
                <c:pt idx="12" formatCode="0.0">
                  <c:v>2022.2</c:v>
                </c:pt>
                <c:pt idx="13" formatCode="0.0">
                  <c:v>2022.3</c:v>
                </c:pt>
                <c:pt idx="14" formatCode="0.0">
                  <c:v>2022.4</c:v>
                </c:pt>
                <c:pt idx="15" formatCode="0.0">
                  <c:v>2023.1</c:v>
                </c:pt>
                <c:pt idx="16" formatCode="0.0">
                  <c:v>2023.2</c:v>
                </c:pt>
                <c:pt idx="17" formatCode="0.0">
                  <c:v>2023.3</c:v>
                </c:pt>
                <c:pt idx="18" formatCode="0.0">
                  <c:v>2023.4</c:v>
                </c:pt>
                <c:pt idx="19" formatCode="0.0">
                  <c:v>2024.1</c:v>
                </c:pt>
              </c:numCache>
            </c:numRef>
          </c:cat>
          <c:val>
            <c:numRef>
              <c:f>Workload_ar207!$B$55:$B$74</c:f>
              <c:numCache>
                <c:formatCode>#,##0</c:formatCode>
                <c:ptCount val="20"/>
                <c:pt idx="0">
                  <c:v>651408</c:v>
                </c:pt>
                <c:pt idx="1">
                  <c:v>664706</c:v>
                </c:pt>
                <c:pt idx="2">
                  <c:v>625978</c:v>
                </c:pt>
                <c:pt idx="3">
                  <c:v>683203</c:v>
                </c:pt>
                <c:pt idx="4">
                  <c:v>1234005</c:v>
                </c:pt>
                <c:pt idx="5">
                  <c:v>1335246</c:v>
                </c:pt>
                <c:pt idx="6">
                  <c:v>1387886</c:v>
                </c:pt>
                <c:pt idx="7">
                  <c:v>1214663</c:v>
                </c:pt>
                <c:pt idx="8">
                  <c:v>1575046</c:v>
                </c:pt>
                <c:pt idx="9">
                  <c:v>1607173</c:v>
                </c:pt>
                <c:pt idx="10">
                  <c:v>1275241</c:v>
                </c:pt>
                <c:pt idx="11">
                  <c:v>1248481</c:v>
                </c:pt>
                <c:pt idx="12">
                  <c:v>910187</c:v>
                </c:pt>
                <c:pt idx="13">
                  <c:v>932287</c:v>
                </c:pt>
                <c:pt idx="14">
                  <c:v>812714</c:v>
                </c:pt>
                <c:pt idx="15">
                  <c:v>920328</c:v>
                </c:pt>
                <c:pt idx="16">
                  <c:v>872288</c:v>
                </c:pt>
                <c:pt idx="17">
                  <c:v>841230</c:v>
                </c:pt>
                <c:pt idx="18">
                  <c:v>834961</c:v>
                </c:pt>
                <c:pt idx="19">
                  <c:v>1029595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017-46D9-BD1C-16CFA09BD75F}"/>
            </c:ext>
          </c:extLst>
        </c:ser>
        <c:ser>
          <c:idx val="2"/>
          <c:order val="1"/>
          <c:tx>
            <c:strRef>
              <c:f>Workload_ar207!$C$54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2019.2</c:v>
                </c:pt>
                <c:pt idx="1">
                  <c:v>2019.3</c:v>
                </c:pt>
                <c:pt idx="2">
                  <c:v>2019.4</c:v>
                </c:pt>
                <c:pt idx="3" formatCode="0.0">
                  <c:v>2020.1</c:v>
                </c:pt>
                <c:pt idx="4" formatCode="0.0">
                  <c:v>2020.2</c:v>
                </c:pt>
                <c:pt idx="5" formatCode="0.0">
                  <c:v>2020.3</c:v>
                </c:pt>
                <c:pt idx="6" formatCode="0.0">
                  <c:v>2020.4</c:v>
                </c:pt>
                <c:pt idx="7" formatCode="0.0">
                  <c:v>2021.1</c:v>
                </c:pt>
                <c:pt idx="8" formatCode="0.0">
                  <c:v>2021.2</c:v>
                </c:pt>
                <c:pt idx="9" formatCode="0.0">
                  <c:v>2021.3</c:v>
                </c:pt>
                <c:pt idx="10" formatCode="0.0">
                  <c:v>2021.4</c:v>
                </c:pt>
                <c:pt idx="11" formatCode="0.0">
                  <c:v>2022.1</c:v>
                </c:pt>
                <c:pt idx="12" formatCode="0.0">
                  <c:v>2022.2</c:v>
                </c:pt>
                <c:pt idx="13" formatCode="0.0">
                  <c:v>2022.3</c:v>
                </c:pt>
                <c:pt idx="14" formatCode="0.0">
                  <c:v>2022.4</c:v>
                </c:pt>
                <c:pt idx="15" formatCode="0.0">
                  <c:v>2023.1</c:v>
                </c:pt>
                <c:pt idx="16" formatCode="0.0">
                  <c:v>2023.2</c:v>
                </c:pt>
                <c:pt idx="17" formatCode="0.0">
                  <c:v>2023.3</c:v>
                </c:pt>
                <c:pt idx="18" formatCode="0.0">
                  <c:v>2023.4</c:v>
                </c:pt>
                <c:pt idx="19" formatCode="0.0">
                  <c:v>2024.1</c:v>
                </c:pt>
              </c:numCache>
            </c:numRef>
          </c:cat>
          <c:val>
            <c:numRef>
              <c:f>Workload_ar207!$C$55:$C$74</c:f>
              <c:numCache>
                <c:formatCode>#,##0</c:formatCode>
                <c:ptCount val="20"/>
                <c:pt idx="0">
                  <c:v>111101</c:v>
                </c:pt>
                <c:pt idx="1">
                  <c:v>109700</c:v>
                </c:pt>
                <c:pt idx="2">
                  <c:v>98954</c:v>
                </c:pt>
                <c:pt idx="3">
                  <c:v>121272</c:v>
                </c:pt>
                <c:pt idx="4">
                  <c:v>343909</c:v>
                </c:pt>
                <c:pt idx="5">
                  <c:v>219280</c:v>
                </c:pt>
                <c:pt idx="6">
                  <c:v>132191</c:v>
                </c:pt>
                <c:pt idx="7">
                  <c:v>148503</c:v>
                </c:pt>
                <c:pt idx="8">
                  <c:v>161703</c:v>
                </c:pt>
                <c:pt idx="9">
                  <c:v>152486</c:v>
                </c:pt>
                <c:pt idx="10">
                  <c:v>124218</c:v>
                </c:pt>
                <c:pt idx="11">
                  <c:v>150664</c:v>
                </c:pt>
                <c:pt idx="12">
                  <c:v>189018</c:v>
                </c:pt>
                <c:pt idx="13">
                  <c:v>121646</c:v>
                </c:pt>
                <c:pt idx="14">
                  <c:v>92761</c:v>
                </c:pt>
                <c:pt idx="15">
                  <c:v>131180</c:v>
                </c:pt>
                <c:pt idx="16">
                  <c:v>118728</c:v>
                </c:pt>
                <c:pt idx="17">
                  <c:v>118784</c:v>
                </c:pt>
                <c:pt idx="18">
                  <c:v>113006</c:v>
                </c:pt>
                <c:pt idx="19">
                  <c:v>133742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017-46D9-BD1C-16CFA09BD7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7315840"/>
        <c:axId val="137317760"/>
      </c:barChart>
      <c:catAx>
        <c:axId val="1373158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7317760"/>
        <c:crosses val="autoZero"/>
        <c:auto val="1"/>
        <c:lblAlgn val="ctr"/>
        <c:lblOffset val="100"/>
        <c:noMultiLvlLbl val="0"/>
      </c:catAx>
      <c:valAx>
        <c:axId val="1373177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73158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Determinations Issues</a:t>
            </a:r>
          </a:p>
          <a:p>
            <a:pPr>
              <a:defRPr sz="1400"/>
            </a:pPr>
            <a:r>
              <a:rPr lang="en-US" sz="1400"/>
              <a:t>1st Quarter 2024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0.11409419779586194"/>
                  <c:y val="8.253047851029649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200"/>
                    </a:pPr>
                    <a:r>
                      <a:rPr lang="en-US"/>
                      <a:t>31.6%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8465022305135695E-2"/>
                      <c:h val="5.7352922201772578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0-2B48-4A9A-94FD-25D4BBA3C72D}"/>
                </c:ext>
              </c:extLst>
            </c:dLbl>
            <c:dLbl>
              <c:idx val="1"/>
              <c:layout>
                <c:manualLayout>
                  <c:x val="0.11963287512364319"/>
                  <c:y val="-0.1421034400504731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en-US"/>
                      <a:t>68.3%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2B48-4A9A-94FD-25D4BBA3C72D}"/>
                </c:ext>
              </c:extLst>
            </c:dLbl>
            <c:dLbl>
              <c:idx val="2"/>
              <c:layout>
                <c:manualLayout>
                  <c:x val="5.7807309735695596E-3"/>
                  <c:y val="3.225127141944277E-2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en-US"/>
                      <a:t>0.1%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194937231937607E-2"/>
                      <c:h val="8.9750847035384426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2B48-4A9A-94FD-25D4BBA3C72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Workload_ar207!$B$80:$D$80</c:f>
              <c:strCache>
                <c:ptCount val="3"/>
                <c:pt idx="0">
                  <c:v>Voluntary Leave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Workload_ar207!$B$81:$D$81</c:f>
              <c:numCache>
                <c:formatCode>#,##0</c:formatCode>
                <c:ptCount val="3"/>
                <c:pt idx="0">
                  <c:v>243368</c:v>
                </c:pt>
                <c:pt idx="1">
                  <c:v>526902</c:v>
                </c:pt>
                <c:pt idx="2">
                  <c:v>886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B48-4A9A-94FD-25D4BBA3C72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Denials Issues</a:t>
            </a:r>
          </a:p>
          <a:p>
            <a:pPr>
              <a:defRPr sz="1400"/>
            </a:pPr>
            <a:r>
              <a:rPr lang="en-US" sz="1400"/>
              <a:t>1st Quarter 2024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Workload_ar207!$B$106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Workload_ar207!$B$107:$B$109</c:f>
              <c:numCache>
                <c:formatCode>0.00%</c:formatCode>
                <c:ptCount val="3"/>
                <c:pt idx="0">
                  <c:v>0.21836067190427666</c:v>
                </c:pt>
                <c:pt idx="1">
                  <c:v>0.65411974143199303</c:v>
                </c:pt>
                <c:pt idx="2">
                  <c:v>0.4435665914221219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05-4875-8253-8D3B5304DED8}"/>
            </c:ext>
          </c:extLst>
        </c:ser>
        <c:ser>
          <c:idx val="1"/>
          <c:order val="1"/>
          <c:tx>
            <c:strRef>
              <c:f>Workload_ar207!$C$106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Workload_ar207!$C$107:$C$109</c:f>
              <c:numCache>
                <c:formatCode>0.00%</c:formatCode>
                <c:ptCount val="3"/>
                <c:pt idx="0">
                  <c:v>0.78163932809572334</c:v>
                </c:pt>
                <c:pt idx="1">
                  <c:v>0.34588025856800697</c:v>
                </c:pt>
                <c:pt idx="2">
                  <c:v>0.55643340857787815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005-4875-8253-8D3B5304DED8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38093696"/>
        <c:axId val="138095232"/>
      </c:barChart>
      <c:catAx>
        <c:axId val="13809369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095232"/>
        <c:crosses val="autoZero"/>
        <c:auto val="1"/>
        <c:lblAlgn val="ctr"/>
        <c:lblOffset val="100"/>
        <c:noMultiLvlLbl val="0"/>
      </c:catAx>
      <c:valAx>
        <c:axId val="138095232"/>
        <c:scaling>
          <c:orientation val="minMax"/>
          <c:max val="1"/>
        </c:scaling>
        <c:delete val="0"/>
        <c:axPos val="b"/>
        <c:majorGridlines>
          <c:spPr>
            <a:ln>
              <a:solidFill>
                <a:schemeClr val="accent1"/>
              </a:solidFill>
            </a:ln>
          </c:spPr>
        </c:majorGridlines>
        <c:numFmt formatCode="0%" sourceLinked="0"/>
        <c:majorTickMark val="none"/>
        <c:minorTickMark val="none"/>
        <c:tickLblPos val="nextTo"/>
        <c:spPr>
          <a:ln w="9525">
            <a:noFill/>
          </a:ln>
        </c:spPr>
        <c:crossAx val="13809369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Determinations Issues</a:t>
            </a:r>
          </a:p>
          <a:p>
            <a:pPr>
              <a:defRPr sz="1400"/>
            </a:pPr>
            <a:r>
              <a:rPr lang="en-US" sz="1400"/>
              <a:t>1st Quarter 2024</a:t>
            </a:r>
          </a:p>
        </c:rich>
      </c:tx>
      <c:overlay val="0"/>
    </c:title>
    <c:autoTitleDeleted val="0"/>
    <c:view3D>
      <c:rotX val="25"/>
      <c:rotY val="0"/>
      <c:depthPercent val="2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778778415475796"/>
          <c:y val="0.27696707672814108"/>
          <c:w val="0.80297926916006623"/>
          <c:h val="0.6050402055180768"/>
        </c:manualLayout>
      </c:layout>
      <c:pie3DChart>
        <c:varyColors val="1"/>
        <c:ser>
          <c:idx val="0"/>
          <c:order val="0"/>
          <c:dPt>
            <c:idx val="1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1-7C84-411A-A7B9-3CB20100B0A9}"/>
              </c:ext>
            </c:extLst>
          </c:dPt>
          <c:dLbls>
            <c:dLbl>
              <c:idx val="0"/>
              <c:layout>
                <c:manualLayout>
                  <c:x val="-1.3266997351674522E-2"/>
                  <c:y val="-0.13059866190466241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C84-411A-A7B9-3CB20100B0A9}"/>
                </c:ext>
              </c:extLst>
            </c:dLbl>
            <c:dLbl>
              <c:idx val="1"/>
              <c:layout>
                <c:manualLayout>
                  <c:x val="7.0011663465363444E-2"/>
                  <c:y val="-6.8613257841634551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822277542257644"/>
                      <c:h val="0.1666409760027334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7C84-411A-A7B9-3CB20100B0A9}"/>
                </c:ext>
              </c:extLst>
            </c:dLbl>
            <c:dLbl>
              <c:idx val="2"/>
              <c:layout>
                <c:manualLayout>
                  <c:x val="-2.5051312485317764E-2"/>
                  <c:y val="8.5790472117802719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C84-411A-A7B9-3CB20100B0A9}"/>
                </c:ext>
              </c:extLst>
            </c:dLbl>
            <c:dLbl>
              <c:idx val="3"/>
              <c:layout>
                <c:manualLayout>
                  <c:x val="-2.754953932627531E-2"/>
                  <c:y val="1.75773651635720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C84-411A-A7B9-3CB20100B0A9}"/>
                </c:ext>
              </c:extLst>
            </c:dLbl>
            <c:dLbl>
              <c:idx val="4"/>
              <c:layout>
                <c:manualLayout>
                  <c:x val="-3.7832059214086361E-2"/>
                  <c:y val="2.955143869615767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C84-411A-A7B9-3CB20100B0A9}"/>
                </c:ext>
              </c:extLst>
            </c:dLbl>
            <c:dLbl>
              <c:idx val="5"/>
              <c:layout>
                <c:manualLayout>
                  <c:x val="-1.9462714961919689E-2"/>
                  <c:y val="-2.9367393489314192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C84-411A-A7B9-3CB20100B0A9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Workload_ar207!$A$122:$A$127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Workload_ar207!$B$122:$B$127</c:f>
              <c:numCache>
                <c:formatCode>#,##0</c:formatCode>
                <c:ptCount val="6"/>
                <c:pt idx="0">
                  <c:v>359122</c:v>
                </c:pt>
                <c:pt idx="1">
                  <c:v>95339</c:v>
                </c:pt>
                <c:pt idx="2">
                  <c:v>14287</c:v>
                </c:pt>
                <c:pt idx="3">
                  <c:v>511054</c:v>
                </c:pt>
                <c:pt idx="4">
                  <c:v>27680</c:v>
                </c:pt>
                <c:pt idx="5">
                  <c:v>155855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7C84-411A-A7B9-3CB20100B0A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Denials Issues</a:t>
            </a:r>
          </a:p>
          <a:p>
            <a:pPr>
              <a:defRPr sz="1400"/>
            </a:pPr>
            <a:r>
              <a:rPr lang="en-US" sz="1400"/>
              <a:t>1st Quarter 2024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Workload_ar207!$B$149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1D3-4073-B3FB-B91341A532D9}"/>
                </c:ext>
              </c:extLst>
            </c:dLbl>
            <c:dLbl>
              <c:idx val="3"/>
              <c:layout>
                <c:manualLayout>
                  <c:x val="7.5811413438140124E-3"/>
                  <c:y val="-3.4572159992334235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1D3-4073-B3FB-B91341A532D9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Workload_ar207!$B$150:$B$155</c:f>
              <c:numCache>
                <c:formatCode>0.0%</c:formatCode>
                <c:ptCount val="6"/>
                <c:pt idx="0">
                  <c:v>0.12343159149258469</c:v>
                </c:pt>
                <c:pt idx="1">
                  <c:v>0</c:v>
                </c:pt>
                <c:pt idx="2">
                  <c:v>0.31980121789038984</c:v>
                </c:pt>
                <c:pt idx="3">
                  <c:v>6.8900742387301539E-2</c:v>
                </c:pt>
                <c:pt idx="4">
                  <c:v>0.16217485549132948</c:v>
                </c:pt>
                <c:pt idx="5">
                  <c:v>0.17339193481120271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1D3-4073-B3FB-B91341A532D9}"/>
            </c:ext>
          </c:extLst>
        </c:ser>
        <c:ser>
          <c:idx val="1"/>
          <c:order val="1"/>
          <c:tx>
            <c:strRef>
              <c:f>Workload_ar207!$C$149</c:f>
              <c:strCache>
                <c:ptCount val="1"/>
                <c:pt idx="0">
                  <c:v>Denial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Workload_ar207!$C$150:$C$155</c:f>
              <c:numCache>
                <c:formatCode>0.0%</c:formatCode>
                <c:ptCount val="6"/>
                <c:pt idx="0">
                  <c:v>0.87656840850741535</c:v>
                </c:pt>
                <c:pt idx="1">
                  <c:v>1</c:v>
                </c:pt>
                <c:pt idx="2">
                  <c:v>0.68019878210961016</c:v>
                </c:pt>
                <c:pt idx="3">
                  <c:v>0.93109925761269852</c:v>
                </c:pt>
                <c:pt idx="4">
                  <c:v>0.83782514450867052</c:v>
                </c:pt>
                <c:pt idx="5">
                  <c:v>0.82660806518879726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1D3-4073-B3FB-B91341A532D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5"/>
        <c:overlap val="100"/>
        <c:axId val="138140672"/>
        <c:axId val="138158848"/>
      </c:barChart>
      <c:catAx>
        <c:axId val="13814067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158848"/>
        <c:crosses val="autoZero"/>
        <c:auto val="1"/>
        <c:lblAlgn val="ctr"/>
        <c:lblOffset val="100"/>
        <c:noMultiLvlLbl val="0"/>
      </c:catAx>
      <c:valAx>
        <c:axId val="138158848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814067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88415D-0992-4B33-91EE-223A2595344C}"/>
</file>

<file path=customXml/itemProps2.xml><?xml version="1.0" encoding="utf-8"?>
<ds:datastoreItem xmlns:ds="http://schemas.openxmlformats.org/officeDocument/2006/customXml" ds:itemID="{93404AB6-9F99-4B70-B41A-E876DC518F76}"/>
</file>

<file path=customXml/itemProps3.xml><?xml version="1.0" encoding="utf-8"?>
<ds:datastoreItem xmlns:ds="http://schemas.openxmlformats.org/officeDocument/2006/customXml" ds:itemID="{EF975EE8-A7E0-406B-9885-76CE447968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6</cp:revision>
  <dcterms:created xsi:type="dcterms:W3CDTF">2023-12-05T16:45:00Z</dcterms:created>
  <dcterms:modified xsi:type="dcterms:W3CDTF">2024-06-10T16:38:00Z</dcterms:modified>
</cp:coreProperties>
</file>