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2A4AA7" w14:textId="77777777" w:rsidR="0045432A" w:rsidRPr="00860638" w:rsidRDefault="0045432A" w:rsidP="0045432A">
      <w:pPr>
        <w:spacing w:after="80"/>
        <w:jc w:val="center"/>
        <w:rPr>
          <w:b/>
          <w:sz w:val="28"/>
          <w:szCs w:val="28"/>
        </w:rPr>
      </w:pPr>
      <w:bookmarkStart w:id="0" w:name="_Hlk161411167"/>
      <w:bookmarkEnd w:id="0"/>
      <w:r w:rsidRPr="00860638">
        <w:rPr>
          <w:b/>
          <w:sz w:val="28"/>
          <w:szCs w:val="28"/>
        </w:rPr>
        <w:t>Unemployment Insurance (UI) Nonmonetary Determinations</w:t>
      </w:r>
    </w:p>
    <w:p w14:paraId="047EB1F4" w14:textId="6890A151" w:rsidR="0045432A" w:rsidRDefault="00E83BED" w:rsidP="0045432A">
      <w:pPr>
        <w:spacing w:after="100" w:afterAutospacing="1"/>
        <w:jc w:val="center"/>
        <w:rPr>
          <w:b/>
        </w:rPr>
      </w:pPr>
      <w:r>
        <w:rPr>
          <w:b/>
        </w:rPr>
        <w:t>2</w:t>
      </w:r>
      <w:r w:rsidRPr="00E83BED">
        <w:rPr>
          <w:b/>
          <w:vertAlign w:val="superscript"/>
        </w:rPr>
        <w:t>nd</w:t>
      </w:r>
      <w:r>
        <w:rPr>
          <w:b/>
        </w:rPr>
        <w:t xml:space="preserve"> </w:t>
      </w:r>
      <w:r w:rsidR="0045432A">
        <w:rPr>
          <w:b/>
        </w:rPr>
        <w:t>Quarter of 202</w:t>
      </w:r>
      <w:r w:rsidR="00952F94">
        <w:rPr>
          <w:b/>
        </w:rPr>
        <w:t>4</w:t>
      </w:r>
    </w:p>
    <w:p w14:paraId="591F703F" w14:textId="77777777" w:rsidR="00E83BED" w:rsidRDefault="00E83BED" w:rsidP="00E83BED">
      <w:pPr>
        <w:rPr>
          <w:b/>
        </w:rPr>
      </w:pPr>
      <w:bookmarkStart w:id="1" w:name="_Hlk109738415"/>
      <w:r>
        <w:rPr>
          <w:b/>
        </w:rPr>
        <w:t>Workload</w:t>
      </w:r>
    </w:p>
    <w:p w14:paraId="26220119" w14:textId="77777777" w:rsidR="00E83BED" w:rsidRDefault="00E83BED" w:rsidP="00E83BED">
      <w:r>
        <w:rPr>
          <w:noProof/>
        </w:rPr>
        <w:drawing>
          <wp:inline distT="0" distB="0" distL="0" distR="0" wp14:anchorId="5D4EC340" wp14:editId="31A55760">
            <wp:extent cx="6688138" cy="3606801"/>
            <wp:effectExtent l="0" t="0" r="17780" b="12700"/>
            <wp:docPr id="25346954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0190EF42" w14:textId="77777777" w:rsidR="00E83BED" w:rsidRPr="00C93D16" w:rsidRDefault="00E83BED" w:rsidP="00E83BED">
      <w:r w:rsidRPr="00C93D16">
        <w:t xml:space="preserve">In the </w:t>
      </w:r>
      <w:r>
        <w:t>2</w:t>
      </w:r>
      <w:r w:rsidRPr="00445E36">
        <w:rPr>
          <w:vertAlign w:val="superscript"/>
        </w:rPr>
        <w:t>nd</w:t>
      </w:r>
      <w:r>
        <w:t xml:space="preserve"> </w:t>
      </w:r>
      <w:r w:rsidRPr="00C93D16">
        <w:t>quarter of 202</w:t>
      </w:r>
      <w:r>
        <w:t>4</w:t>
      </w:r>
      <w:r w:rsidRPr="00C93D16">
        <w:t xml:space="preserve">, the number of UI nonmonetary determinations </w:t>
      </w:r>
      <w:r>
        <w:t>de</w:t>
      </w:r>
      <w:r w:rsidRPr="00C93D16">
        <w:t xml:space="preserve">creased </w:t>
      </w:r>
      <w:r>
        <w:t>14.1</w:t>
      </w:r>
      <w:r w:rsidRPr="00C93D16">
        <w:t xml:space="preserve">% from the previous quarter.  The number of separation determinations </w:t>
      </w:r>
      <w:r>
        <w:t>decreased by 6.7</w:t>
      </w:r>
      <w:r w:rsidRPr="00C93D16">
        <w:t xml:space="preserve">% </w:t>
      </w:r>
      <w:r>
        <w:t xml:space="preserve">from previous quarter </w:t>
      </w:r>
      <w:r w:rsidRPr="00C93D16">
        <w:t xml:space="preserve">and the number of nonseparation determinations </w:t>
      </w:r>
      <w:r>
        <w:t>de</w:t>
      </w:r>
      <w:r w:rsidRPr="00C93D16">
        <w:t xml:space="preserve">creased </w:t>
      </w:r>
      <w:r>
        <w:t>by</w:t>
      </w:r>
      <w:r w:rsidRPr="00C93D16">
        <w:t xml:space="preserve"> </w:t>
      </w:r>
      <w:r>
        <w:t>19</w:t>
      </w:r>
      <w:r w:rsidRPr="00C93D16">
        <w:t>%.</w:t>
      </w:r>
      <w:r>
        <w:t xml:space="preserve">  However, even though these categories show decreases in this quarter, workload also is showing a significant decrease compared to the same quarter in 2020 due to the impact of Covid-19 on state workload</w:t>
      </w:r>
      <w:r w:rsidRPr="00C93D16">
        <w:t>.</w:t>
      </w:r>
    </w:p>
    <w:p w14:paraId="30375BEB" w14:textId="77777777" w:rsidR="00E83BED" w:rsidRPr="00C93D16" w:rsidRDefault="00E83BED" w:rsidP="00E83BED"/>
    <w:p w14:paraId="56CE0EE7" w14:textId="77777777" w:rsidR="00E83BED" w:rsidRPr="00C93D16" w:rsidRDefault="00E83BED" w:rsidP="00E83BED"/>
    <w:p w14:paraId="3A1E92AA" w14:textId="77777777" w:rsidR="00E83BED" w:rsidRPr="00C93D16" w:rsidRDefault="00E83BED" w:rsidP="00E83BED"/>
    <w:p w14:paraId="41ED64B7" w14:textId="77777777" w:rsidR="00E83BED" w:rsidRPr="00C93D16" w:rsidRDefault="00E83BED" w:rsidP="00E83BED"/>
    <w:p w14:paraId="4B3D9BF8" w14:textId="77777777" w:rsidR="00E83BED" w:rsidRPr="00C93D16" w:rsidRDefault="00E83BED" w:rsidP="00E83BED"/>
    <w:p w14:paraId="15954A9E" w14:textId="77777777" w:rsidR="00E83BED" w:rsidRPr="00C93D16" w:rsidRDefault="00E83BED" w:rsidP="00E83BED">
      <w:r>
        <w:rPr>
          <w:noProof/>
        </w:rPr>
        <w:lastRenderedPageBreak/>
        <w:drawing>
          <wp:inline distT="0" distB="0" distL="0" distR="0" wp14:anchorId="2F15D1A5" wp14:editId="731883A0">
            <wp:extent cx="6688138" cy="3613151"/>
            <wp:effectExtent l="0" t="0" r="17780" b="6350"/>
            <wp:docPr id="133625957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1B5C5ADB" w14:textId="77777777" w:rsidR="00E83BED" w:rsidRDefault="00E83BED" w:rsidP="00E83BED">
      <w:r w:rsidRPr="00C93D16">
        <w:t xml:space="preserve">In the </w:t>
      </w:r>
      <w:r>
        <w:t>2</w:t>
      </w:r>
      <w:r w:rsidRPr="005C6FBD">
        <w:rPr>
          <w:vertAlign w:val="superscript"/>
        </w:rPr>
        <w:t>nd</w:t>
      </w:r>
      <w:r>
        <w:t xml:space="preserve"> </w:t>
      </w:r>
      <w:r w:rsidRPr="00C93D16">
        <w:t>quarter of 202</w:t>
      </w:r>
      <w:r>
        <w:t>4</w:t>
      </w:r>
      <w:r w:rsidRPr="00C93D16">
        <w:t xml:space="preserve">, </w:t>
      </w:r>
      <w:r>
        <w:t>47.8</w:t>
      </w:r>
      <w:r w:rsidRPr="00C93D16">
        <w:t xml:space="preserve">% of the determinations involving separation issues resulted in a denial of UI benefits, and </w:t>
      </w:r>
      <w:r>
        <w:t>52.3</w:t>
      </w:r>
      <w:r w:rsidRPr="00C93D16">
        <w:t xml:space="preserve">% of the determinations concluded that the claimant was eligible for benefits. </w:t>
      </w:r>
      <w:r w:rsidRPr="002E6279">
        <w:t>This</w:t>
      </w:r>
      <w:r>
        <w:t xml:space="preserve"> </w:t>
      </w:r>
      <w:r w:rsidRPr="004C70E4">
        <w:t xml:space="preserve">ratio in the </w:t>
      </w:r>
      <w:r>
        <w:t>2</w:t>
      </w:r>
      <w:r w:rsidRPr="004A70E5">
        <w:rPr>
          <w:vertAlign w:val="superscript"/>
        </w:rPr>
        <w:t>nd</w:t>
      </w:r>
      <w:r>
        <w:t xml:space="preserve"> </w:t>
      </w:r>
      <w:r w:rsidRPr="004C70E4">
        <w:t>quarter of 202</w:t>
      </w:r>
      <w:r>
        <w:t>4</w:t>
      </w:r>
      <w:r w:rsidRPr="004C70E4">
        <w:t xml:space="preserve"> </w:t>
      </w:r>
      <w:r>
        <w:t>is concluding that almost half of</w:t>
      </w:r>
      <w:r w:rsidRPr="004C70E4">
        <w:t xml:space="preserve"> determinations claimants </w:t>
      </w:r>
      <w:r>
        <w:t>are</w:t>
      </w:r>
      <w:r w:rsidRPr="004C70E4">
        <w:t xml:space="preserve"> </w:t>
      </w:r>
      <w:r>
        <w:t xml:space="preserve">both eligible and not </w:t>
      </w:r>
      <w:r w:rsidRPr="004C70E4">
        <w:t>eligible for benefits</w:t>
      </w:r>
      <w:r>
        <w:t>.</w:t>
      </w:r>
    </w:p>
    <w:p w14:paraId="411633AA" w14:textId="77777777" w:rsidR="00E83BED" w:rsidRPr="00C93D16" w:rsidRDefault="00E83BED" w:rsidP="00E83BED">
      <w:r>
        <w:rPr>
          <w:noProof/>
        </w:rPr>
        <w:drawing>
          <wp:inline distT="0" distB="0" distL="0" distR="0" wp14:anchorId="0E7E856B" wp14:editId="26D109C1">
            <wp:extent cx="6694488" cy="3613151"/>
            <wp:effectExtent l="0" t="0" r="11430" b="6350"/>
            <wp:docPr id="178149068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Pr="002E6279">
        <w:t xml:space="preserve"> </w:t>
      </w:r>
    </w:p>
    <w:p w14:paraId="0BC8CBC4" w14:textId="77777777" w:rsidR="00E83BED" w:rsidRPr="00C93D16" w:rsidRDefault="00E83BED" w:rsidP="00E83BED">
      <w:r w:rsidRPr="00C93D16">
        <w:t xml:space="preserve">In the </w:t>
      </w:r>
      <w:r>
        <w:t>2</w:t>
      </w:r>
      <w:r w:rsidRPr="004A70E5">
        <w:rPr>
          <w:vertAlign w:val="superscript"/>
        </w:rPr>
        <w:t>nd</w:t>
      </w:r>
      <w:r>
        <w:t xml:space="preserve"> </w:t>
      </w:r>
      <w:r w:rsidRPr="00C93D16">
        <w:t>quarter of 202</w:t>
      </w:r>
      <w:r>
        <w:t>4</w:t>
      </w:r>
      <w:r w:rsidRPr="00C93D16">
        <w:t xml:space="preserve">, </w:t>
      </w:r>
      <w:r>
        <w:t>86.6</w:t>
      </w:r>
      <w:r w:rsidRPr="00C93D16">
        <w:t xml:space="preserve">% of the determinations involving nonseparation issues resulted in a denial of UI benefits, while the claimant was found to be eligible for benefits in only </w:t>
      </w:r>
      <w:r>
        <w:t>13.4</w:t>
      </w:r>
      <w:r w:rsidRPr="00C93D16">
        <w:t xml:space="preserve">% of nonseparation determinations. </w:t>
      </w:r>
      <w:r>
        <w:t>Although workload increased significantly starting with the 2</w:t>
      </w:r>
      <w:r w:rsidRPr="00F7315F">
        <w:rPr>
          <w:vertAlign w:val="superscript"/>
        </w:rPr>
        <w:t>nd</w:t>
      </w:r>
      <w:r>
        <w:t xml:space="preserve"> quarter of 2020 due to the impact of Covid-19, the ratio of denials to eligible claims remains similar for nonseparation issues.</w:t>
      </w:r>
    </w:p>
    <w:p w14:paraId="313DCADD" w14:textId="77777777" w:rsidR="00E83BED" w:rsidRPr="00C93D16" w:rsidRDefault="00E83BED" w:rsidP="00E83BED">
      <w:r>
        <w:rPr>
          <w:noProof/>
        </w:rPr>
        <w:lastRenderedPageBreak/>
        <w:drawing>
          <wp:inline distT="0" distB="0" distL="0" distR="0" wp14:anchorId="3C6FE736" wp14:editId="2C05E201">
            <wp:extent cx="6650038" cy="3022601"/>
            <wp:effectExtent l="0" t="0" r="17780" b="6350"/>
            <wp:docPr id="84493334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A9C3DA7" w14:textId="77777777" w:rsidR="00E83BED" w:rsidRPr="00C93D16" w:rsidRDefault="00E83BED" w:rsidP="00E83BED">
      <w:r w:rsidRPr="00C93D16">
        <w:t xml:space="preserve">In the </w:t>
      </w:r>
      <w:r>
        <w:t>2</w:t>
      </w:r>
      <w:r w:rsidRPr="004A70E5">
        <w:rPr>
          <w:vertAlign w:val="superscript"/>
        </w:rPr>
        <w:t>nd</w:t>
      </w:r>
      <w:r>
        <w:t xml:space="preserve"> </w:t>
      </w:r>
      <w:r w:rsidRPr="00C93D16">
        <w:t>quarter of 202</w:t>
      </w:r>
      <w:r>
        <w:t>4</w:t>
      </w:r>
      <w:r w:rsidRPr="00C93D16">
        <w:t xml:space="preserve">, </w:t>
      </w:r>
      <w:r>
        <w:t>68.1</w:t>
      </w:r>
      <w:r w:rsidRPr="00C93D16">
        <w:t xml:space="preserve">% of the determinations involving separation issues due to </w:t>
      </w:r>
      <w:r>
        <w:t>discharge</w:t>
      </w:r>
      <w:r w:rsidRPr="00C93D16">
        <w:t xml:space="preserve">, </w:t>
      </w:r>
      <w:r>
        <w:t>31.8</w:t>
      </w:r>
      <w:r w:rsidRPr="00C93D16">
        <w:t xml:space="preserve">% </w:t>
      </w:r>
      <w:r>
        <w:t xml:space="preserve">were </w:t>
      </w:r>
      <w:r w:rsidRPr="00C93D16">
        <w:t>due</w:t>
      </w:r>
      <w:r>
        <w:t xml:space="preserve"> </w:t>
      </w:r>
      <w:r w:rsidRPr="00C93D16">
        <w:t xml:space="preserve">to </w:t>
      </w:r>
      <w:r>
        <w:t>voluntary leave</w:t>
      </w:r>
      <w:r w:rsidRPr="00C93D16">
        <w:t xml:space="preserve">, and </w:t>
      </w:r>
      <w:r>
        <w:t>0.1</w:t>
      </w:r>
      <w:r w:rsidRPr="00C93D16">
        <w:t>% due to other reasons.</w:t>
      </w:r>
      <w:r>
        <w:t xml:space="preserve"> </w:t>
      </w:r>
    </w:p>
    <w:p w14:paraId="46F60071" w14:textId="77777777" w:rsidR="00E83BED" w:rsidRPr="00C93D16" w:rsidRDefault="00E83BED" w:rsidP="00E83BED">
      <w:r>
        <w:rPr>
          <w:noProof/>
        </w:rPr>
        <w:drawing>
          <wp:inline distT="0" distB="0" distL="0" distR="0" wp14:anchorId="78BBFC9A" wp14:editId="5ED6A1A5">
            <wp:extent cx="6688138" cy="2943226"/>
            <wp:effectExtent l="0" t="0" r="17780" b="9525"/>
            <wp:docPr id="105155718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F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67BC18B" w14:textId="77777777" w:rsidR="00E83BED" w:rsidRPr="00C93D16" w:rsidRDefault="00E83BED" w:rsidP="00E83BED">
      <w:r w:rsidRPr="00C93D16">
        <w:t xml:space="preserve">In the </w:t>
      </w:r>
      <w:r>
        <w:t>2</w:t>
      </w:r>
      <w:r w:rsidRPr="004A70E5">
        <w:rPr>
          <w:vertAlign w:val="superscript"/>
        </w:rPr>
        <w:t>nd</w:t>
      </w:r>
      <w:r>
        <w:t xml:space="preserve"> </w:t>
      </w:r>
      <w:r w:rsidRPr="00C93D16">
        <w:t>quarter of 202</w:t>
      </w:r>
      <w:r>
        <w:t>4</w:t>
      </w:r>
      <w:r w:rsidRPr="00C93D16">
        <w:t xml:space="preserve">, </w:t>
      </w:r>
      <w:r>
        <w:t>77.9</w:t>
      </w:r>
      <w:r w:rsidRPr="00C93D16">
        <w:t xml:space="preserve">% of the determinations where the claimant </w:t>
      </w:r>
      <w:r>
        <w:t xml:space="preserve">voluntary </w:t>
      </w:r>
      <w:r w:rsidRPr="00C93D16">
        <w:t>left the job</w:t>
      </w:r>
      <w:r>
        <w:t>,</w:t>
      </w:r>
      <w:r w:rsidRPr="00C93D16">
        <w:t xml:space="preserve"> resu</w:t>
      </w:r>
      <w:r>
        <w:t>lted in a denial of eligibility.  In contrast,</w:t>
      </w:r>
      <w:r w:rsidRPr="00C93D16">
        <w:t xml:space="preserve"> states issued denials for only </w:t>
      </w:r>
      <w:r>
        <w:t>33.7%</w:t>
      </w:r>
      <w:r w:rsidRPr="00C93D16">
        <w:t xml:space="preserve"> of the determinations where the claimant was discharged from the job.</w:t>
      </w:r>
    </w:p>
    <w:p w14:paraId="34BCF12D" w14:textId="77777777" w:rsidR="00E83BED" w:rsidRPr="00C93D16" w:rsidRDefault="00E83BED" w:rsidP="00E83BED">
      <w:r>
        <w:rPr>
          <w:noProof/>
        </w:rPr>
        <w:lastRenderedPageBreak/>
        <w:drawing>
          <wp:inline distT="0" distB="0" distL="0" distR="0" wp14:anchorId="6B0420F6" wp14:editId="18717E65">
            <wp:extent cx="6802438" cy="3357182"/>
            <wp:effectExtent l="0" t="0" r="17780" b="15240"/>
            <wp:docPr id="45939021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0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F7D129B" w14:textId="77777777" w:rsidR="00E83BED" w:rsidRPr="00C93D16" w:rsidRDefault="00E83BED" w:rsidP="00E83BED">
      <w:r w:rsidRPr="00C93D16">
        <w:t xml:space="preserve">In the </w:t>
      </w:r>
      <w:r>
        <w:t>2</w:t>
      </w:r>
      <w:r w:rsidRPr="004A70E5">
        <w:rPr>
          <w:vertAlign w:val="superscript"/>
        </w:rPr>
        <w:t>nd</w:t>
      </w:r>
      <w:r>
        <w:t xml:space="preserve"> </w:t>
      </w:r>
      <w:r w:rsidRPr="00C93D16">
        <w:t>quarter of 202</w:t>
      </w:r>
      <w:r>
        <w:t>4</w:t>
      </w:r>
      <w:r w:rsidRPr="00C93D16">
        <w:t>, the largest category of nonseparation determinations (</w:t>
      </w:r>
      <w:r>
        <w:t>40.2</w:t>
      </w:r>
      <w:r w:rsidRPr="00C93D16">
        <w:t xml:space="preserve">%) </w:t>
      </w:r>
      <w:r>
        <w:t>was</w:t>
      </w:r>
      <w:r w:rsidRPr="00602AEE">
        <w:t xml:space="preserve"> </w:t>
      </w:r>
      <w:r>
        <w:t>the R</w:t>
      </w:r>
      <w:r w:rsidRPr="00C93D16">
        <w:t xml:space="preserve">eporting </w:t>
      </w:r>
      <w:r>
        <w:t>R</w:t>
      </w:r>
      <w:r w:rsidRPr="00C93D16">
        <w:t>equirement call-ins and other.  The second largest category</w:t>
      </w:r>
      <w:r>
        <w:t xml:space="preserve"> (32.4%) was</w:t>
      </w:r>
      <w:r w:rsidRPr="00C93D16">
        <w:t xml:space="preserve"> </w:t>
      </w:r>
      <w:r>
        <w:t>Able, Available, Actively Seeking Employment,</w:t>
      </w:r>
      <w:r w:rsidRPr="002E6279">
        <w:t xml:space="preserve"> </w:t>
      </w:r>
      <w:r>
        <w:t xml:space="preserve">which is like 2019 and earlier. </w:t>
      </w:r>
    </w:p>
    <w:p w14:paraId="0C3F9430" w14:textId="77777777" w:rsidR="00E83BED" w:rsidRPr="00C93D16" w:rsidRDefault="00E83BED" w:rsidP="00E83BED">
      <w:r>
        <w:rPr>
          <w:noProof/>
        </w:rPr>
        <w:drawing>
          <wp:inline distT="0" distB="0" distL="0" distR="0" wp14:anchorId="550ABA70" wp14:editId="179F3B0C">
            <wp:extent cx="6704013" cy="3613151"/>
            <wp:effectExtent l="0" t="0" r="1905" b="6350"/>
            <wp:docPr id="125970172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E249AAC" w14:textId="77777777" w:rsidR="00E83BED" w:rsidRDefault="00E83BED" w:rsidP="00E83BED">
      <w:r w:rsidRPr="00C93D16">
        <w:t xml:space="preserve">In the </w:t>
      </w:r>
      <w:r>
        <w:t>2</w:t>
      </w:r>
      <w:r w:rsidRPr="0015654A">
        <w:rPr>
          <w:vertAlign w:val="superscript"/>
        </w:rPr>
        <w:t>nd</w:t>
      </w:r>
      <w:r>
        <w:t xml:space="preserve"> </w:t>
      </w:r>
      <w:r w:rsidRPr="00C93D16">
        <w:t>quarter of 202</w:t>
      </w:r>
      <w:r>
        <w:t>4</w:t>
      </w:r>
      <w:r w:rsidRPr="00C93D16">
        <w:t>, the category of nonseparation determinations with the highest denial rate was “Disqualifying/Deductible Income” with 100%, followed by</w:t>
      </w:r>
      <w:r>
        <w:t xml:space="preserve"> </w:t>
      </w:r>
      <w:r w:rsidRPr="00C93D16">
        <w:t>“</w:t>
      </w:r>
      <w:r>
        <w:t>Reporting Requirement Call-ins and Other</w:t>
      </w:r>
      <w:r w:rsidRPr="00C93D16">
        <w:t xml:space="preserve">” with </w:t>
      </w:r>
      <w:r>
        <w:t>93.8</w:t>
      </w:r>
      <w:r w:rsidRPr="00C93D16">
        <w:t>%</w:t>
      </w:r>
      <w:r>
        <w:t xml:space="preserve"> and </w:t>
      </w:r>
      <w:r w:rsidRPr="00C93D16">
        <w:t>“</w:t>
      </w:r>
      <w:r>
        <w:t>Able, Available, Actively Seeking</w:t>
      </w:r>
      <w:r w:rsidRPr="00C93D16">
        <w:t xml:space="preserve">” with </w:t>
      </w:r>
      <w:r>
        <w:t>86.6</w:t>
      </w:r>
      <w:r w:rsidRPr="00C93D16">
        <w:t>%</w:t>
      </w:r>
      <w:r>
        <w:t>.</w:t>
      </w:r>
    </w:p>
    <w:bookmarkEnd w:id="1"/>
    <w:p w14:paraId="149343CD" w14:textId="1FE16ECA" w:rsidR="00041F7A" w:rsidRDefault="00041F7A">
      <w:r w:rsidRPr="006C7B31">
        <w:rPr>
          <w:i/>
          <w:sz w:val="20"/>
          <w:szCs w:val="20"/>
        </w:rPr>
        <w:t>This report was produced on</w:t>
      </w:r>
      <w:r w:rsidR="00CE43B9">
        <w:rPr>
          <w:i/>
          <w:sz w:val="20"/>
          <w:szCs w:val="20"/>
        </w:rPr>
        <w:t xml:space="preserve"> </w:t>
      </w:r>
      <w:r w:rsidR="00E83BED">
        <w:rPr>
          <w:i/>
          <w:sz w:val="20"/>
          <w:szCs w:val="20"/>
        </w:rPr>
        <w:t>9</w:t>
      </w:r>
      <w:r w:rsidR="00BE0B1E">
        <w:rPr>
          <w:i/>
          <w:sz w:val="20"/>
          <w:szCs w:val="20"/>
        </w:rPr>
        <w:t>/</w:t>
      </w:r>
      <w:r w:rsidR="00E83BED">
        <w:rPr>
          <w:i/>
          <w:sz w:val="20"/>
          <w:szCs w:val="20"/>
        </w:rPr>
        <w:t>12</w:t>
      </w:r>
      <w:r>
        <w:rPr>
          <w:i/>
          <w:sz w:val="20"/>
          <w:szCs w:val="20"/>
        </w:rPr>
        <w:t>/202</w:t>
      </w:r>
      <w:r w:rsidR="00420D21">
        <w:rPr>
          <w:i/>
          <w:sz w:val="20"/>
          <w:szCs w:val="20"/>
        </w:rPr>
        <w:t>4</w:t>
      </w:r>
      <w:r>
        <w:rPr>
          <w:i/>
          <w:sz w:val="20"/>
          <w:szCs w:val="20"/>
        </w:rPr>
        <w:t xml:space="preserve"> b</w:t>
      </w:r>
      <w:r w:rsidRPr="006C7B31">
        <w:rPr>
          <w:i/>
          <w:sz w:val="20"/>
          <w:szCs w:val="20"/>
        </w:rPr>
        <w:t>y the Office of Unemployment Insurance, Division of Performance Management.</w:t>
      </w:r>
    </w:p>
    <w:sectPr w:rsidR="00041F7A" w:rsidSect="004543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7A"/>
    <w:rsid w:val="0004075F"/>
    <w:rsid w:val="00041F7A"/>
    <w:rsid w:val="00045F06"/>
    <w:rsid w:val="000768EF"/>
    <w:rsid w:val="0012691F"/>
    <w:rsid w:val="001E1C99"/>
    <w:rsid w:val="002D3538"/>
    <w:rsid w:val="002D6AC7"/>
    <w:rsid w:val="00401789"/>
    <w:rsid w:val="00420D21"/>
    <w:rsid w:val="0045432A"/>
    <w:rsid w:val="00477C49"/>
    <w:rsid w:val="00490459"/>
    <w:rsid w:val="004C6F9C"/>
    <w:rsid w:val="004D7091"/>
    <w:rsid w:val="0052310C"/>
    <w:rsid w:val="00590E37"/>
    <w:rsid w:val="006270DF"/>
    <w:rsid w:val="00680C14"/>
    <w:rsid w:val="006A5C5D"/>
    <w:rsid w:val="00790749"/>
    <w:rsid w:val="0079233F"/>
    <w:rsid w:val="007A6221"/>
    <w:rsid w:val="008712D0"/>
    <w:rsid w:val="00946B2E"/>
    <w:rsid w:val="00952F94"/>
    <w:rsid w:val="00977758"/>
    <w:rsid w:val="00B95303"/>
    <w:rsid w:val="00BB1081"/>
    <w:rsid w:val="00BE0B1E"/>
    <w:rsid w:val="00C33BDC"/>
    <w:rsid w:val="00CC2EB1"/>
    <w:rsid w:val="00CE43B9"/>
    <w:rsid w:val="00D25AF7"/>
    <w:rsid w:val="00D425D9"/>
    <w:rsid w:val="00D46E6B"/>
    <w:rsid w:val="00D96A47"/>
    <w:rsid w:val="00E10C8B"/>
    <w:rsid w:val="00E8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68242"/>
  <w15:chartTrackingRefBased/>
  <w15:docId w15:val="{B6B53AE2-C6B2-4EEE-87A7-B65326DA6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F7A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fontTable" Target="fontTable.xml"/><Relationship Id="rId5" Type="http://schemas.openxmlformats.org/officeDocument/2006/relationships/chart" Target="charts/chart2.xml"/><Relationship Id="rId15" Type="http://schemas.openxmlformats.org/officeDocument/2006/relationships/customXml" Target="../customXml/item3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ustomXml" Target="../customXml/item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Workload_ar207!$B$4</c:f>
              <c:strCache>
                <c:ptCount val="1"/>
                <c:pt idx="0">
                  <c:v>Separations</c:v>
                </c:pt>
              </c:strCache>
            </c:strRef>
          </c:tx>
          <c:invertIfNegative val="0"/>
          <c:cat>
            <c:numRef>
              <c:f>Workload_ar207!$A$5:$A$24</c:f>
              <c:numCache>
                <c:formatCode>General</c:formatCode>
                <c:ptCount val="20"/>
                <c:pt idx="0">
                  <c:v>2019.3</c:v>
                </c:pt>
                <c:pt idx="1">
                  <c:v>2019.4</c:v>
                </c:pt>
                <c:pt idx="2" formatCode="0.0">
                  <c:v>2020.1</c:v>
                </c:pt>
                <c:pt idx="3" formatCode="0.0">
                  <c:v>2020.2</c:v>
                </c:pt>
                <c:pt idx="4" formatCode="0.0">
                  <c:v>2020.3</c:v>
                </c:pt>
                <c:pt idx="5" formatCode="0.0">
                  <c:v>2020.4</c:v>
                </c:pt>
                <c:pt idx="6" formatCode="0.0">
                  <c:v>2021.1</c:v>
                </c:pt>
                <c:pt idx="7" formatCode="0.0">
                  <c:v>2021.2</c:v>
                </c:pt>
                <c:pt idx="8" formatCode="0.0">
                  <c:v>2021.3</c:v>
                </c:pt>
                <c:pt idx="9" formatCode="0.0">
                  <c:v>2021.4</c:v>
                </c:pt>
                <c:pt idx="10" formatCode="0.0">
                  <c:v>2022.1</c:v>
                </c:pt>
                <c:pt idx="11" formatCode="0.0">
                  <c:v>2022.2</c:v>
                </c:pt>
                <c:pt idx="12" formatCode="0.0">
                  <c:v>2022.3</c:v>
                </c:pt>
                <c:pt idx="13" formatCode="0.0">
                  <c:v>2022.4</c:v>
                </c:pt>
                <c:pt idx="14" formatCode="0.0">
                  <c:v>2023.1</c:v>
                </c:pt>
                <c:pt idx="15" formatCode="0.0">
                  <c:v>2023.2</c:v>
                </c:pt>
                <c:pt idx="16" formatCode="0.0">
                  <c:v>2023.3</c:v>
                </c:pt>
                <c:pt idx="17" formatCode="0.0">
                  <c:v>2023.4</c:v>
                </c:pt>
                <c:pt idx="18" formatCode="0.0">
                  <c:v>2024.1</c:v>
                </c:pt>
                <c:pt idx="19" formatCode="0.0">
                  <c:v>2024.2</c:v>
                </c:pt>
              </c:numCache>
            </c:numRef>
          </c:cat>
          <c:val>
            <c:numRef>
              <c:f>Workload_ar207!$B$5:$B$24</c:f>
              <c:numCache>
                <c:formatCode>#,##0</c:formatCode>
                <c:ptCount val="20"/>
                <c:pt idx="0">
                  <c:v>754174</c:v>
                </c:pt>
                <c:pt idx="1">
                  <c:v>713426</c:v>
                </c:pt>
                <c:pt idx="2">
                  <c:v>707828</c:v>
                </c:pt>
                <c:pt idx="3">
                  <c:v>1296776</c:v>
                </c:pt>
                <c:pt idx="4">
                  <c:v>1032490</c:v>
                </c:pt>
                <c:pt idx="5">
                  <c:v>851009</c:v>
                </c:pt>
                <c:pt idx="6">
                  <c:v>877141</c:v>
                </c:pt>
                <c:pt idx="7">
                  <c:v>815832</c:v>
                </c:pt>
                <c:pt idx="8">
                  <c:v>785757</c:v>
                </c:pt>
                <c:pt idx="9">
                  <c:v>750394</c:v>
                </c:pt>
                <c:pt idx="10">
                  <c:v>783883</c:v>
                </c:pt>
                <c:pt idx="11">
                  <c:v>755953</c:v>
                </c:pt>
                <c:pt idx="12">
                  <c:v>774283</c:v>
                </c:pt>
                <c:pt idx="13">
                  <c:v>712340</c:v>
                </c:pt>
                <c:pt idx="14">
                  <c:v>755642</c:v>
                </c:pt>
                <c:pt idx="15">
                  <c:v>751082</c:v>
                </c:pt>
                <c:pt idx="16">
                  <c:v>739570</c:v>
                </c:pt>
                <c:pt idx="17">
                  <c:v>742956</c:v>
                </c:pt>
                <c:pt idx="18">
                  <c:v>771156</c:v>
                </c:pt>
                <c:pt idx="19">
                  <c:v>719429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347-419B-AE44-A39EA5ED9C2B}"/>
            </c:ext>
          </c:extLst>
        </c:ser>
        <c:ser>
          <c:idx val="2"/>
          <c:order val="1"/>
          <c:tx>
            <c:strRef>
              <c:f>Workload_ar207!$C$4</c:f>
              <c:strCache>
                <c:ptCount val="1"/>
                <c:pt idx="0">
                  <c:v>Nonseparations</c:v>
                </c:pt>
              </c:strCache>
            </c:strRef>
          </c:tx>
          <c:invertIfNegative val="0"/>
          <c:cat>
            <c:numRef>
              <c:f>Workload_ar207!$A$5:$A$24</c:f>
              <c:numCache>
                <c:formatCode>General</c:formatCode>
                <c:ptCount val="20"/>
                <c:pt idx="0">
                  <c:v>2019.3</c:v>
                </c:pt>
                <c:pt idx="1">
                  <c:v>2019.4</c:v>
                </c:pt>
                <c:pt idx="2" formatCode="0.0">
                  <c:v>2020.1</c:v>
                </c:pt>
                <c:pt idx="3" formatCode="0.0">
                  <c:v>2020.2</c:v>
                </c:pt>
                <c:pt idx="4" formatCode="0.0">
                  <c:v>2020.3</c:v>
                </c:pt>
                <c:pt idx="5" formatCode="0.0">
                  <c:v>2020.4</c:v>
                </c:pt>
                <c:pt idx="6" formatCode="0.0">
                  <c:v>2021.1</c:v>
                </c:pt>
                <c:pt idx="7" formatCode="0.0">
                  <c:v>2021.2</c:v>
                </c:pt>
                <c:pt idx="8" formatCode="0.0">
                  <c:v>2021.3</c:v>
                </c:pt>
                <c:pt idx="9" formatCode="0.0">
                  <c:v>2021.4</c:v>
                </c:pt>
                <c:pt idx="10" formatCode="0.0">
                  <c:v>2022.1</c:v>
                </c:pt>
                <c:pt idx="11" formatCode="0.0">
                  <c:v>2022.2</c:v>
                </c:pt>
                <c:pt idx="12" formatCode="0.0">
                  <c:v>2022.3</c:v>
                </c:pt>
                <c:pt idx="13" formatCode="0.0">
                  <c:v>2022.4</c:v>
                </c:pt>
                <c:pt idx="14" formatCode="0.0">
                  <c:v>2023.1</c:v>
                </c:pt>
                <c:pt idx="15" formatCode="0.0">
                  <c:v>2023.2</c:v>
                </c:pt>
                <c:pt idx="16" formatCode="0.0">
                  <c:v>2023.3</c:v>
                </c:pt>
                <c:pt idx="17" formatCode="0.0">
                  <c:v>2023.4</c:v>
                </c:pt>
                <c:pt idx="18" formatCode="0.0">
                  <c:v>2024.1</c:v>
                </c:pt>
                <c:pt idx="19" formatCode="0.0">
                  <c:v>2024.2</c:v>
                </c:pt>
              </c:numCache>
            </c:numRef>
          </c:cat>
          <c:val>
            <c:numRef>
              <c:f>Workload_ar207!$C$5:$C$24</c:f>
              <c:numCache>
                <c:formatCode>#,##0</c:formatCode>
                <c:ptCount val="20"/>
                <c:pt idx="0">
                  <c:v>774406</c:v>
                </c:pt>
                <c:pt idx="1">
                  <c:v>724932</c:v>
                </c:pt>
                <c:pt idx="2">
                  <c:v>804475</c:v>
                </c:pt>
                <c:pt idx="3">
                  <c:v>1577914</c:v>
                </c:pt>
                <c:pt idx="4">
                  <c:v>1554526</c:v>
                </c:pt>
                <c:pt idx="5">
                  <c:v>1520077</c:v>
                </c:pt>
                <c:pt idx="6">
                  <c:v>1363166</c:v>
                </c:pt>
                <c:pt idx="7">
                  <c:v>1736749</c:v>
                </c:pt>
                <c:pt idx="8">
                  <c:v>1759659</c:v>
                </c:pt>
                <c:pt idx="9">
                  <c:v>1399459</c:v>
                </c:pt>
                <c:pt idx="10">
                  <c:v>1399145</c:v>
                </c:pt>
                <c:pt idx="11">
                  <c:v>1099205</c:v>
                </c:pt>
                <c:pt idx="12">
                  <c:v>1053933</c:v>
                </c:pt>
                <c:pt idx="13">
                  <c:v>905475</c:v>
                </c:pt>
                <c:pt idx="14">
                  <c:v>1051508</c:v>
                </c:pt>
                <c:pt idx="15">
                  <c:v>991016</c:v>
                </c:pt>
                <c:pt idx="16">
                  <c:v>960014</c:v>
                </c:pt>
                <c:pt idx="17">
                  <c:v>947967</c:v>
                </c:pt>
                <c:pt idx="18">
                  <c:v>1163337</c:v>
                </c:pt>
                <c:pt idx="19">
                  <c:v>942060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347-419B-AE44-A39EA5ED9C2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2652032"/>
        <c:axId val="132654208"/>
      </c:barChart>
      <c:catAx>
        <c:axId val="13265203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2654208"/>
        <c:crosses val="autoZero"/>
        <c:auto val="1"/>
        <c:lblAlgn val="ctr"/>
        <c:lblOffset val="100"/>
        <c:noMultiLvlLbl val="0"/>
      </c:catAx>
      <c:valAx>
        <c:axId val="132654208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2652032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Separation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Workload_ar207!$B$29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cat>
            <c:numRef>
              <c:f>Workload_ar207!$A$30:$A$49</c:f>
              <c:numCache>
                <c:formatCode>General</c:formatCode>
                <c:ptCount val="20"/>
                <c:pt idx="0">
                  <c:v>2019.3</c:v>
                </c:pt>
                <c:pt idx="1">
                  <c:v>2019.4</c:v>
                </c:pt>
                <c:pt idx="2">
                  <c:v>2020.1</c:v>
                </c:pt>
                <c:pt idx="3" formatCode="0.0">
                  <c:v>2020.2</c:v>
                </c:pt>
                <c:pt idx="4" formatCode="0.0">
                  <c:v>2020.3</c:v>
                </c:pt>
                <c:pt idx="5" formatCode="0.0">
                  <c:v>2020.4</c:v>
                </c:pt>
                <c:pt idx="6" formatCode="0.0">
                  <c:v>2021.1</c:v>
                </c:pt>
                <c:pt idx="7" formatCode="0.0">
                  <c:v>2021.2</c:v>
                </c:pt>
                <c:pt idx="8" formatCode="0.0">
                  <c:v>2021.3</c:v>
                </c:pt>
                <c:pt idx="9" formatCode="0.0">
                  <c:v>2021.4</c:v>
                </c:pt>
                <c:pt idx="10" formatCode="0.0">
                  <c:v>2022.1</c:v>
                </c:pt>
                <c:pt idx="11" formatCode="0.0">
                  <c:v>2022.2</c:v>
                </c:pt>
                <c:pt idx="12" formatCode="0.0">
                  <c:v>2022.3</c:v>
                </c:pt>
                <c:pt idx="13" formatCode="0.0">
                  <c:v>2022.4</c:v>
                </c:pt>
                <c:pt idx="14" formatCode="0.0">
                  <c:v>2023.1</c:v>
                </c:pt>
                <c:pt idx="15" formatCode="0.0">
                  <c:v>2023.2</c:v>
                </c:pt>
                <c:pt idx="16" formatCode="0.0">
                  <c:v>2023.3</c:v>
                </c:pt>
                <c:pt idx="17" formatCode="0.0">
                  <c:v>2023.4</c:v>
                </c:pt>
                <c:pt idx="18" formatCode="0.0">
                  <c:v>2024.1</c:v>
                </c:pt>
                <c:pt idx="19" formatCode="0.0">
                  <c:v>2024.2</c:v>
                </c:pt>
              </c:numCache>
            </c:numRef>
          </c:cat>
          <c:val>
            <c:numRef>
              <c:f>Workload_ar207!$B$30:$B$49</c:f>
              <c:numCache>
                <c:formatCode>#,##0</c:formatCode>
                <c:ptCount val="20"/>
                <c:pt idx="0">
                  <c:v>361597</c:v>
                </c:pt>
                <c:pt idx="1">
                  <c:v>340041</c:v>
                </c:pt>
                <c:pt idx="2">
                  <c:v>332337</c:v>
                </c:pt>
                <c:pt idx="3">
                  <c:v>479055</c:v>
                </c:pt>
                <c:pt idx="4">
                  <c:v>643872</c:v>
                </c:pt>
                <c:pt idx="5">
                  <c:v>521453</c:v>
                </c:pt>
                <c:pt idx="6">
                  <c:v>518299</c:v>
                </c:pt>
                <c:pt idx="7">
                  <c:v>481353</c:v>
                </c:pt>
                <c:pt idx="8">
                  <c:v>452207</c:v>
                </c:pt>
                <c:pt idx="9">
                  <c:v>430138</c:v>
                </c:pt>
                <c:pt idx="10">
                  <c:v>439567</c:v>
                </c:pt>
                <c:pt idx="11">
                  <c:v>421902</c:v>
                </c:pt>
                <c:pt idx="12">
                  <c:v>415688</c:v>
                </c:pt>
                <c:pt idx="13">
                  <c:v>353282</c:v>
                </c:pt>
                <c:pt idx="14">
                  <c:v>373483</c:v>
                </c:pt>
                <c:pt idx="15">
                  <c:v>356387</c:v>
                </c:pt>
                <c:pt idx="16">
                  <c:v>364892</c:v>
                </c:pt>
                <c:pt idx="17">
                  <c:v>360910</c:v>
                </c:pt>
                <c:pt idx="18">
                  <c:v>372964</c:v>
                </c:pt>
                <c:pt idx="19">
                  <c:v>343541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78B-4C41-A9EA-A84E0CFA8BFC}"/>
            </c:ext>
          </c:extLst>
        </c:ser>
        <c:ser>
          <c:idx val="2"/>
          <c:order val="1"/>
          <c:tx>
            <c:strRef>
              <c:f>Workload_ar207!$C$29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cat>
            <c:numRef>
              <c:f>Workload_ar207!$A$30:$A$49</c:f>
              <c:numCache>
                <c:formatCode>General</c:formatCode>
                <c:ptCount val="20"/>
                <c:pt idx="0">
                  <c:v>2019.3</c:v>
                </c:pt>
                <c:pt idx="1">
                  <c:v>2019.4</c:v>
                </c:pt>
                <c:pt idx="2">
                  <c:v>2020.1</c:v>
                </c:pt>
                <c:pt idx="3" formatCode="0.0">
                  <c:v>2020.2</c:v>
                </c:pt>
                <c:pt idx="4" formatCode="0.0">
                  <c:v>2020.3</c:v>
                </c:pt>
                <c:pt idx="5" formatCode="0.0">
                  <c:v>2020.4</c:v>
                </c:pt>
                <c:pt idx="6" formatCode="0.0">
                  <c:v>2021.1</c:v>
                </c:pt>
                <c:pt idx="7" formatCode="0.0">
                  <c:v>2021.2</c:v>
                </c:pt>
                <c:pt idx="8" formatCode="0.0">
                  <c:v>2021.3</c:v>
                </c:pt>
                <c:pt idx="9" formatCode="0.0">
                  <c:v>2021.4</c:v>
                </c:pt>
                <c:pt idx="10" formatCode="0.0">
                  <c:v>2022.1</c:v>
                </c:pt>
                <c:pt idx="11" formatCode="0.0">
                  <c:v>2022.2</c:v>
                </c:pt>
                <c:pt idx="12" formatCode="0.0">
                  <c:v>2022.3</c:v>
                </c:pt>
                <c:pt idx="13" formatCode="0.0">
                  <c:v>2022.4</c:v>
                </c:pt>
                <c:pt idx="14" formatCode="0.0">
                  <c:v>2023.1</c:v>
                </c:pt>
                <c:pt idx="15" formatCode="0.0">
                  <c:v>2023.2</c:v>
                </c:pt>
                <c:pt idx="16" formatCode="0.0">
                  <c:v>2023.3</c:v>
                </c:pt>
                <c:pt idx="17" formatCode="0.0">
                  <c:v>2023.4</c:v>
                </c:pt>
                <c:pt idx="18" formatCode="0.0">
                  <c:v>2024.1</c:v>
                </c:pt>
                <c:pt idx="19" formatCode="0.0">
                  <c:v>2024.2</c:v>
                </c:pt>
              </c:numCache>
            </c:numRef>
          </c:cat>
          <c:val>
            <c:numRef>
              <c:f>Workload_ar207!$C$30:$C$49</c:f>
              <c:numCache>
                <c:formatCode>#,##0</c:formatCode>
                <c:ptCount val="20"/>
                <c:pt idx="0">
                  <c:v>392577</c:v>
                </c:pt>
                <c:pt idx="1">
                  <c:v>373385</c:v>
                </c:pt>
                <c:pt idx="2">
                  <c:v>375491</c:v>
                </c:pt>
                <c:pt idx="3">
                  <c:v>817721</c:v>
                </c:pt>
                <c:pt idx="4">
                  <c:v>388618</c:v>
                </c:pt>
                <c:pt idx="5">
                  <c:v>329556</c:v>
                </c:pt>
                <c:pt idx="6">
                  <c:v>358842</c:v>
                </c:pt>
                <c:pt idx="7">
                  <c:v>334479</c:v>
                </c:pt>
                <c:pt idx="8">
                  <c:v>333550</c:v>
                </c:pt>
                <c:pt idx="9">
                  <c:v>320256</c:v>
                </c:pt>
                <c:pt idx="10">
                  <c:v>344316</c:v>
                </c:pt>
                <c:pt idx="11">
                  <c:v>334051</c:v>
                </c:pt>
                <c:pt idx="12">
                  <c:v>358595</c:v>
                </c:pt>
                <c:pt idx="13">
                  <c:v>359058</c:v>
                </c:pt>
                <c:pt idx="14">
                  <c:v>382159</c:v>
                </c:pt>
                <c:pt idx="15">
                  <c:v>394695</c:v>
                </c:pt>
                <c:pt idx="16">
                  <c:v>374678</c:v>
                </c:pt>
                <c:pt idx="17">
                  <c:v>382046</c:v>
                </c:pt>
                <c:pt idx="18">
                  <c:v>398192</c:v>
                </c:pt>
                <c:pt idx="19">
                  <c:v>375888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78B-4C41-A9EA-A84E0CFA8B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2700416"/>
        <c:axId val="132702592"/>
      </c:barChart>
      <c:catAx>
        <c:axId val="13270041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2702592"/>
        <c:crosses val="autoZero"/>
        <c:auto val="1"/>
        <c:lblAlgn val="ctr"/>
        <c:lblOffset val="100"/>
        <c:noMultiLvlLbl val="0"/>
      </c:catAx>
      <c:valAx>
        <c:axId val="13270259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2700416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Nonseparation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Workload_ar207!$B$54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cat>
            <c:numRef>
              <c:f>Workload_ar207!$A$55:$A$74</c:f>
              <c:numCache>
                <c:formatCode>General</c:formatCode>
                <c:ptCount val="20"/>
                <c:pt idx="0">
                  <c:v>2019.3</c:v>
                </c:pt>
                <c:pt idx="1">
                  <c:v>2019.4</c:v>
                </c:pt>
                <c:pt idx="2">
                  <c:v>2020.1</c:v>
                </c:pt>
                <c:pt idx="3" formatCode="0.0">
                  <c:v>2020.2</c:v>
                </c:pt>
                <c:pt idx="4" formatCode="0.0">
                  <c:v>2020.3</c:v>
                </c:pt>
                <c:pt idx="5" formatCode="0.0">
                  <c:v>2020.4</c:v>
                </c:pt>
                <c:pt idx="6" formatCode="0.0">
                  <c:v>2021.1</c:v>
                </c:pt>
                <c:pt idx="7" formatCode="0.0">
                  <c:v>2021.2</c:v>
                </c:pt>
                <c:pt idx="8" formatCode="0.0">
                  <c:v>2021.3</c:v>
                </c:pt>
                <c:pt idx="9" formatCode="0.0">
                  <c:v>2021.4</c:v>
                </c:pt>
                <c:pt idx="10" formatCode="0.0">
                  <c:v>2022.1</c:v>
                </c:pt>
                <c:pt idx="11" formatCode="0.0">
                  <c:v>2022.2</c:v>
                </c:pt>
                <c:pt idx="12" formatCode="0.0">
                  <c:v>2022.3</c:v>
                </c:pt>
                <c:pt idx="13" formatCode="0.0">
                  <c:v>2022.4</c:v>
                </c:pt>
                <c:pt idx="14" formatCode="0.0">
                  <c:v>2023.1</c:v>
                </c:pt>
                <c:pt idx="15" formatCode="0.0">
                  <c:v>2023.2</c:v>
                </c:pt>
                <c:pt idx="16" formatCode="0.0">
                  <c:v>2023.3</c:v>
                </c:pt>
                <c:pt idx="17" formatCode="0.0">
                  <c:v>2023.4</c:v>
                </c:pt>
                <c:pt idx="18" formatCode="0.0">
                  <c:v>2024.1</c:v>
                </c:pt>
                <c:pt idx="19" formatCode="0.0">
                  <c:v>2024.2</c:v>
                </c:pt>
              </c:numCache>
            </c:numRef>
          </c:cat>
          <c:val>
            <c:numRef>
              <c:f>Workload_ar207!$B$55:$B$74</c:f>
              <c:numCache>
                <c:formatCode>#,##0</c:formatCode>
                <c:ptCount val="20"/>
                <c:pt idx="0">
                  <c:v>664706</c:v>
                </c:pt>
                <c:pt idx="1">
                  <c:v>625978</c:v>
                </c:pt>
                <c:pt idx="2">
                  <c:v>683203</c:v>
                </c:pt>
                <c:pt idx="3">
                  <c:v>1234005</c:v>
                </c:pt>
                <c:pt idx="4">
                  <c:v>1335246</c:v>
                </c:pt>
                <c:pt idx="5">
                  <c:v>1387886</c:v>
                </c:pt>
                <c:pt idx="6">
                  <c:v>1214663</c:v>
                </c:pt>
                <c:pt idx="7">
                  <c:v>1575046</c:v>
                </c:pt>
                <c:pt idx="8">
                  <c:v>1607173</c:v>
                </c:pt>
                <c:pt idx="9">
                  <c:v>1275241</c:v>
                </c:pt>
                <c:pt idx="10">
                  <c:v>1248481</c:v>
                </c:pt>
                <c:pt idx="11">
                  <c:v>910187</c:v>
                </c:pt>
                <c:pt idx="12">
                  <c:v>932287</c:v>
                </c:pt>
                <c:pt idx="13">
                  <c:v>812714</c:v>
                </c:pt>
                <c:pt idx="14">
                  <c:v>920328</c:v>
                </c:pt>
                <c:pt idx="15">
                  <c:v>872288</c:v>
                </c:pt>
                <c:pt idx="16">
                  <c:v>841230</c:v>
                </c:pt>
                <c:pt idx="17">
                  <c:v>834961</c:v>
                </c:pt>
                <c:pt idx="18">
                  <c:v>1029595</c:v>
                </c:pt>
                <c:pt idx="19">
                  <c:v>816093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EA6-47D7-8E00-64A43F13FF7F}"/>
            </c:ext>
          </c:extLst>
        </c:ser>
        <c:ser>
          <c:idx val="2"/>
          <c:order val="1"/>
          <c:tx>
            <c:strRef>
              <c:f>Workload_ar207!$C$54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cat>
            <c:numRef>
              <c:f>Workload_ar207!$A$55:$A$74</c:f>
              <c:numCache>
                <c:formatCode>General</c:formatCode>
                <c:ptCount val="20"/>
                <c:pt idx="0">
                  <c:v>2019.3</c:v>
                </c:pt>
                <c:pt idx="1">
                  <c:v>2019.4</c:v>
                </c:pt>
                <c:pt idx="2">
                  <c:v>2020.1</c:v>
                </c:pt>
                <c:pt idx="3" formatCode="0.0">
                  <c:v>2020.2</c:v>
                </c:pt>
                <c:pt idx="4" formatCode="0.0">
                  <c:v>2020.3</c:v>
                </c:pt>
                <c:pt idx="5" formatCode="0.0">
                  <c:v>2020.4</c:v>
                </c:pt>
                <c:pt idx="6" formatCode="0.0">
                  <c:v>2021.1</c:v>
                </c:pt>
                <c:pt idx="7" formatCode="0.0">
                  <c:v>2021.2</c:v>
                </c:pt>
                <c:pt idx="8" formatCode="0.0">
                  <c:v>2021.3</c:v>
                </c:pt>
                <c:pt idx="9" formatCode="0.0">
                  <c:v>2021.4</c:v>
                </c:pt>
                <c:pt idx="10" formatCode="0.0">
                  <c:v>2022.1</c:v>
                </c:pt>
                <c:pt idx="11" formatCode="0.0">
                  <c:v>2022.2</c:v>
                </c:pt>
                <c:pt idx="12" formatCode="0.0">
                  <c:v>2022.3</c:v>
                </c:pt>
                <c:pt idx="13" formatCode="0.0">
                  <c:v>2022.4</c:v>
                </c:pt>
                <c:pt idx="14" formatCode="0.0">
                  <c:v>2023.1</c:v>
                </c:pt>
                <c:pt idx="15" formatCode="0.0">
                  <c:v>2023.2</c:v>
                </c:pt>
                <c:pt idx="16" formatCode="0.0">
                  <c:v>2023.3</c:v>
                </c:pt>
                <c:pt idx="17" formatCode="0.0">
                  <c:v>2023.4</c:v>
                </c:pt>
                <c:pt idx="18" formatCode="0.0">
                  <c:v>2024.1</c:v>
                </c:pt>
                <c:pt idx="19" formatCode="0.0">
                  <c:v>2024.2</c:v>
                </c:pt>
              </c:numCache>
            </c:numRef>
          </c:cat>
          <c:val>
            <c:numRef>
              <c:f>Workload_ar207!$C$55:$C$74</c:f>
              <c:numCache>
                <c:formatCode>#,##0</c:formatCode>
                <c:ptCount val="20"/>
                <c:pt idx="0">
                  <c:v>109700</c:v>
                </c:pt>
                <c:pt idx="1">
                  <c:v>98954</c:v>
                </c:pt>
                <c:pt idx="2">
                  <c:v>121272</c:v>
                </c:pt>
                <c:pt idx="3">
                  <c:v>343909</c:v>
                </c:pt>
                <c:pt idx="4">
                  <c:v>219280</c:v>
                </c:pt>
                <c:pt idx="5">
                  <c:v>132191</c:v>
                </c:pt>
                <c:pt idx="6">
                  <c:v>148503</c:v>
                </c:pt>
                <c:pt idx="7">
                  <c:v>161703</c:v>
                </c:pt>
                <c:pt idx="8">
                  <c:v>152486</c:v>
                </c:pt>
                <c:pt idx="9">
                  <c:v>124218</c:v>
                </c:pt>
                <c:pt idx="10">
                  <c:v>150664</c:v>
                </c:pt>
                <c:pt idx="11">
                  <c:v>189018</c:v>
                </c:pt>
                <c:pt idx="12">
                  <c:v>121646</c:v>
                </c:pt>
                <c:pt idx="13">
                  <c:v>92761</c:v>
                </c:pt>
                <c:pt idx="14">
                  <c:v>131180</c:v>
                </c:pt>
                <c:pt idx="15">
                  <c:v>118728</c:v>
                </c:pt>
                <c:pt idx="16">
                  <c:v>118784</c:v>
                </c:pt>
                <c:pt idx="17">
                  <c:v>113006</c:v>
                </c:pt>
                <c:pt idx="18">
                  <c:v>133742</c:v>
                </c:pt>
                <c:pt idx="19">
                  <c:v>125967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EA6-47D7-8E00-64A43F13FF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7315840"/>
        <c:axId val="137317760"/>
      </c:barChart>
      <c:catAx>
        <c:axId val="13731584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7317760"/>
        <c:crosses val="autoZero"/>
        <c:auto val="1"/>
        <c:lblAlgn val="ctr"/>
        <c:lblOffset val="100"/>
        <c:noMultiLvlLbl val="0"/>
      </c:catAx>
      <c:valAx>
        <c:axId val="13731776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7315840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Separation Determinations Issues</a:t>
            </a:r>
          </a:p>
          <a:p>
            <a:pPr>
              <a:defRPr sz="1400"/>
            </a:pPr>
            <a:r>
              <a:rPr lang="en-US" sz="1400"/>
              <a:t>2nd Quarter 2024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-0.11409419779586194"/>
                  <c:y val="8.253047851029649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1200"/>
                    </a:pPr>
                    <a:r>
                      <a:rPr lang="en-US"/>
                      <a:t>31.8%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8465022305135695E-2"/>
                      <c:h val="5.7352922201772578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0-64BE-49C5-8C36-5D398019BEAF}"/>
                </c:ext>
              </c:extLst>
            </c:dLbl>
            <c:dLbl>
              <c:idx val="1"/>
              <c:layout>
                <c:manualLayout>
                  <c:x val="0.11963287512364319"/>
                  <c:y val="-0.1421034400504731"/>
                </c:manualLayout>
              </c:layout>
              <c:tx>
                <c:rich>
                  <a:bodyPr/>
                  <a:lstStyle/>
                  <a:p>
                    <a:pPr>
                      <a:defRPr sz="1200"/>
                    </a:pPr>
                    <a:r>
                      <a:rPr lang="en-US"/>
                      <a:t>68.1%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64BE-49C5-8C36-5D398019BEAF}"/>
                </c:ext>
              </c:extLst>
            </c:dLbl>
            <c:dLbl>
              <c:idx val="2"/>
              <c:layout>
                <c:manualLayout>
                  <c:x val="5.7807309735695596E-3"/>
                  <c:y val="3.225127141944277E-2"/>
                </c:manualLayout>
              </c:layout>
              <c:tx>
                <c:rich>
                  <a:bodyPr/>
                  <a:lstStyle/>
                  <a:p>
                    <a:pPr>
                      <a:defRPr sz="1200"/>
                    </a:pPr>
                    <a:r>
                      <a:rPr lang="en-US"/>
                      <a:t>0.1%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0194937231937607E-2"/>
                      <c:h val="8.9750847035384426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2-64BE-49C5-8C36-5D398019BEAF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Workload_ar207!$B$80:$D$80</c:f>
              <c:strCache>
                <c:ptCount val="3"/>
                <c:pt idx="0">
                  <c:v>Voluntary Leave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Workload_ar207!$B$81:$D$81</c:f>
              <c:numCache>
                <c:formatCode>#,##0</c:formatCode>
                <c:ptCount val="3"/>
                <c:pt idx="0">
                  <c:v>228534</c:v>
                </c:pt>
                <c:pt idx="1">
                  <c:v>490179</c:v>
                </c:pt>
                <c:pt idx="2">
                  <c:v>716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4BE-49C5-8C36-5D398019BEA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Separation Denials Issues</a:t>
            </a:r>
          </a:p>
          <a:p>
            <a:pPr>
              <a:defRPr sz="1400"/>
            </a:pPr>
            <a:r>
              <a:rPr lang="en-US" sz="1400"/>
              <a:t>2nd Quarter 2024</a:t>
            </a:r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Workload_ar207!$B$106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Workload_ar207!$A$107:$A$109</c:f>
              <c:strCache>
                <c:ptCount val="3"/>
                <c:pt idx="0">
                  <c:v>Voluntary Leaving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Workload_ar207!$B$107:$B$109</c:f>
              <c:numCache>
                <c:formatCode>0.00%</c:formatCode>
                <c:ptCount val="3"/>
                <c:pt idx="0">
                  <c:v>0.22060174853632283</c:v>
                </c:pt>
                <c:pt idx="1">
                  <c:v>0.66306390114631597</c:v>
                </c:pt>
                <c:pt idx="2">
                  <c:v>0.63268156424581001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E3D-4DF4-B578-D59B5785C65E}"/>
            </c:ext>
          </c:extLst>
        </c:ser>
        <c:ser>
          <c:idx val="1"/>
          <c:order val="1"/>
          <c:tx>
            <c:strRef>
              <c:f>Workload_ar207!$C$106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Workload_ar207!$A$107:$A$109</c:f>
              <c:strCache>
                <c:ptCount val="3"/>
                <c:pt idx="0">
                  <c:v>Voluntary Leaving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Workload_ar207!$C$107:$C$109</c:f>
              <c:numCache>
                <c:formatCode>0.00%</c:formatCode>
                <c:ptCount val="3"/>
                <c:pt idx="0">
                  <c:v>0.77939825146367714</c:v>
                </c:pt>
                <c:pt idx="1">
                  <c:v>0.33693609885368409</c:v>
                </c:pt>
                <c:pt idx="2">
                  <c:v>0.36731843575418993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E3D-4DF4-B578-D59B5785C65E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138093696"/>
        <c:axId val="138095232"/>
      </c:barChart>
      <c:catAx>
        <c:axId val="138093696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8095232"/>
        <c:crosses val="autoZero"/>
        <c:auto val="1"/>
        <c:lblAlgn val="ctr"/>
        <c:lblOffset val="100"/>
        <c:noMultiLvlLbl val="0"/>
      </c:catAx>
      <c:valAx>
        <c:axId val="138095232"/>
        <c:scaling>
          <c:orientation val="minMax"/>
          <c:max val="1"/>
        </c:scaling>
        <c:delete val="0"/>
        <c:axPos val="b"/>
        <c:majorGridlines>
          <c:spPr>
            <a:ln>
              <a:solidFill>
                <a:schemeClr val="accent1"/>
              </a:solidFill>
            </a:ln>
          </c:spPr>
        </c:majorGridlines>
        <c:numFmt formatCode="0%" sourceLinked="0"/>
        <c:majorTickMark val="none"/>
        <c:minorTickMark val="none"/>
        <c:tickLblPos val="nextTo"/>
        <c:spPr>
          <a:ln w="9525">
            <a:noFill/>
          </a:ln>
        </c:spPr>
        <c:crossAx val="138093696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Nonseparation Determinations Issues</a:t>
            </a:r>
          </a:p>
          <a:p>
            <a:pPr>
              <a:defRPr sz="1400"/>
            </a:pPr>
            <a:r>
              <a:rPr lang="en-US" sz="1400"/>
              <a:t>2nd Quarter 2024</a:t>
            </a:r>
          </a:p>
        </c:rich>
      </c:tx>
      <c:overlay val="0"/>
    </c:title>
    <c:autoTitleDeleted val="0"/>
    <c:view3D>
      <c:rotX val="25"/>
      <c:rotY val="0"/>
      <c:depthPercent val="2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778778415475796"/>
          <c:y val="0.27696707672814108"/>
          <c:w val="0.80297926916006623"/>
          <c:h val="0.6050402055180768"/>
        </c:manualLayout>
      </c:layout>
      <c:pie3DChart>
        <c:varyColors val="1"/>
        <c:ser>
          <c:idx val="0"/>
          <c:order val="0"/>
          <c:dPt>
            <c:idx val="1"/>
            <c:bubble3D val="0"/>
            <c:spPr>
              <a:solidFill>
                <a:srgbClr val="C00000"/>
              </a:solidFill>
            </c:spPr>
            <c:extLst>
              <c:ext xmlns:c16="http://schemas.microsoft.com/office/drawing/2014/chart" uri="{C3380CC4-5D6E-409C-BE32-E72D297353CC}">
                <c16:uniqueId val="{00000001-F016-4187-B04A-505ACD30AFCA}"/>
              </c:ext>
            </c:extLst>
          </c:dPt>
          <c:dLbls>
            <c:dLbl>
              <c:idx val="0"/>
              <c:layout>
                <c:manualLayout>
                  <c:x val="-1.3266997351674522E-2"/>
                  <c:y val="-0.13059866190466241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016-4187-B04A-505ACD30AFCA}"/>
                </c:ext>
              </c:extLst>
            </c:dLbl>
            <c:dLbl>
              <c:idx val="1"/>
              <c:layout>
                <c:manualLayout>
                  <c:x val="7.0011663465363444E-2"/>
                  <c:y val="-6.8613257841634551E-2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822277542257644"/>
                      <c:h val="0.1666409760027334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F016-4187-B04A-505ACD30AFCA}"/>
                </c:ext>
              </c:extLst>
            </c:dLbl>
            <c:dLbl>
              <c:idx val="2"/>
              <c:layout>
                <c:manualLayout>
                  <c:x val="-2.5051312485317764E-2"/>
                  <c:y val="8.5790472117802719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016-4187-B04A-505ACD30AFCA}"/>
                </c:ext>
              </c:extLst>
            </c:dLbl>
            <c:dLbl>
              <c:idx val="3"/>
              <c:layout>
                <c:manualLayout>
                  <c:x val="-2.754953932627531E-2"/>
                  <c:y val="1.757736516357206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016-4187-B04A-505ACD30AFCA}"/>
                </c:ext>
              </c:extLst>
            </c:dLbl>
            <c:dLbl>
              <c:idx val="4"/>
              <c:layout>
                <c:manualLayout>
                  <c:x val="-3.7832059214086361E-2"/>
                  <c:y val="2.9551438696157676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016-4187-B04A-505ACD30AFCA}"/>
                </c:ext>
              </c:extLst>
            </c:dLbl>
            <c:dLbl>
              <c:idx val="5"/>
              <c:layout>
                <c:manualLayout>
                  <c:x val="-1.9462714961919689E-2"/>
                  <c:y val="-2.9367393489314192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016-4187-B04A-505ACD30AFCA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Workload_ar207!$A$122:$A$127</c:f>
              <c:strCache>
                <c:ptCount val="6"/>
                <c:pt idx="0">
                  <c:v>Able, Available, Actively Seeking</c:v>
                </c:pt>
                <c:pt idx="1">
                  <c:v>Disqualifying/Deductible Income</c:v>
                </c:pt>
                <c:pt idx="2">
                  <c:v>Refusal of Suitable Work</c:v>
                </c:pt>
                <c:pt idx="3">
                  <c:v>Reporting Requirement Call-ins and Other</c:v>
                </c:pt>
                <c:pt idx="4">
                  <c:v>Refusal Profiling Referrals</c:v>
                </c:pt>
                <c:pt idx="5">
                  <c:v>Other(Aliens, Athlete School)</c:v>
                </c:pt>
              </c:strCache>
            </c:strRef>
          </c:cat>
          <c:val>
            <c:numRef>
              <c:f>Workload_ar207!$B$122:$B$127</c:f>
              <c:numCache>
                <c:formatCode>#,##0</c:formatCode>
                <c:ptCount val="6"/>
                <c:pt idx="0">
                  <c:v>305127</c:v>
                </c:pt>
                <c:pt idx="1">
                  <c:v>75900</c:v>
                </c:pt>
                <c:pt idx="2">
                  <c:v>9046</c:v>
                </c:pt>
                <c:pt idx="3">
                  <c:v>379126</c:v>
                </c:pt>
                <c:pt idx="4">
                  <c:v>26472</c:v>
                </c:pt>
                <c:pt idx="5">
                  <c:v>146389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F016-4187-B04A-505ACD30AFC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Nonseparation Denials Issues</a:t>
            </a:r>
          </a:p>
          <a:p>
            <a:pPr>
              <a:defRPr sz="1400"/>
            </a:pPr>
            <a:r>
              <a:rPr lang="en-US" sz="1400"/>
              <a:t>2nd Quarter 2024</a:t>
            </a:r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Workload_ar207!$B$149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dLbls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AF6-419E-985A-3C27ADF71196}"/>
                </c:ext>
              </c:extLst>
            </c:dLbl>
            <c:dLbl>
              <c:idx val="3"/>
              <c:layout>
                <c:manualLayout>
                  <c:x val="7.5811413438140124E-3"/>
                  <c:y val="-3.4572159992334235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AF6-419E-985A-3C27ADF71196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Workload_ar207!$A$150:$A$155</c:f>
              <c:strCache>
                <c:ptCount val="6"/>
                <c:pt idx="0">
                  <c:v>Able, Available, Actively Seeking</c:v>
                </c:pt>
                <c:pt idx="1">
                  <c:v>Disqualifying/Deductible Income</c:v>
                </c:pt>
                <c:pt idx="2">
                  <c:v>Refusal of Suitable Work</c:v>
                </c:pt>
                <c:pt idx="3">
                  <c:v>Reporting Requirement Call-ins and Other</c:v>
                </c:pt>
                <c:pt idx="4">
                  <c:v>Refusal Profiling Referrals</c:v>
                </c:pt>
                <c:pt idx="5">
                  <c:v>Other(Aliens, Athlete School)</c:v>
                </c:pt>
              </c:strCache>
            </c:strRef>
          </c:cat>
          <c:val>
            <c:numRef>
              <c:f>Workload_ar207!$B$150:$B$155</c:f>
              <c:numCache>
                <c:formatCode>0.0%</c:formatCode>
                <c:ptCount val="6"/>
                <c:pt idx="0">
                  <c:v>0.13405237819006513</c:v>
                </c:pt>
                <c:pt idx="1">
                  <c:v>0</c:v>
                </c:pt>
                <c:pt idx="2">
                  <c:v>0.67654211806323239</c:v>
                </c:pt>
                <c:pt idx="3">
                  <c:v>6.2229971038652056E-2</c:v>
                </c:pt>
                <c:pt idx="4">
                  <c:v>0.18487458446660623</c:v>
                </c:pt>
                <c:pt idx="5">
                  <c:v>0.22577516070196532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AF6-419E-985A-3C27ADF71196}"/>
            </c:ext>
          </c:extLst>
        </c:ser>
        <c:ser>
          <c:idx val="1"/>
          <c:order val="1"/>
          <c:tx>
            <c:strRef>
              <c:f>Workload_ar207!$C$149</c:f>
              <c:strCache>
                <c:ptCount val="1"/>
                <c:pt idx="0">
                  <c:v>Denial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Workload_ar207!$A$150:$A$155</c:f>
              <c:strCache>
                <c:ptCount val="6"/>
                <c:pt idx="0">
                  <c:v>Able, Available, Actively Seeking</c:v>
                </c:pt>
                <c:pt idx="1">
                  <c:v>Disqualifying/Deductible Income</c:v>
                </c:pt>
                <c:pt idx="2">
                  <c:v>Refusal of Suitable Work</c:v>
                </c:pt>
                <c:pt idx="3">
                  <c:v>Reporting Requirement Call-ins and Other</c:v>
                </c:pt>
                <c:pt idx="4">
                  <c:v>Refusal Profiling Referrals</c:v>
                </c:pt>
                <c:pt idx="5">
                  <c:v>Other(Aliens, Athlete School)</c:v>
                </c:pt>
              </c:strCache>
            </c:strRef>
          </c:cat>
          <c:val>
            <c:numRef>
              <c:f>Workload_ar207!$C$150:$C$155</c:f>
              <c:numCache>
                <c:formatCode>0.0%</c:formatCode>
                <c:ptCount val="6"/>
                <c:pt idx="0">
                  <c:v>0.8659476218099349</c:v>
                </c:pt>
                <c:pt idx="1">
                  <c:v>1</c:v>
                </c:pt>
                <c:pt idx="2">
                  <c:v>0.32345788193676761</c:v>
                </c:pt>
                <c:pt idx="3">
                  <c:v>0.93777002896134798</c:v>
                </c:pt>
                <c:pt idx="4">
                  <c:v>0.81512541553339379</c:v>
                </c:pt>
                <c:pt idx="5">
                  <c:v>0.77422483929803465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AF6-419E-985A-3C27ADF71196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55"/>
        <c:overlap val="100"/>
        <c:axId val="138140672"/>
        <c:axId val="138158848"/>
      </c:barChart>
      <c:catAx>
        <c:axId val="138140672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8158848"/>
        <c:crosses val="autoZero"/>
        <c:auto val="1"/>
        <c:lblAlgn val="ctr"/>
        <c:lblOffset val="100"/>
        <c:noMultiLvlLbl val="0"/>
      </c:catAx>
      <c:valAx>
        <c:axId val="138158848"/>
        <c:scaling>
          <c:orientation val="minMax"/>
          <c:max val="1"/>
        </c:scaling>
        <c:delete val="0"/>
        <c:axPos val="b"/>
        <c:majorGridlines/>
        <c:numFmt formatCode="0%" sourceLinked="0"/>
        <c:majorTickMark val="out"/>
        <c:minorTickMark val="none"/>
        <c:tickLblPos val="nextTo"/>
        <c:crossAx val="13814067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7061E5-DF3B-485E-9A56-40F4F29F3C3E}"/>
</file>

<file path=customXml/itemProps2.xml><?xml version="1.0" encoding="utf-8"?>
<ds:datastoreItem xmlns:ds="http://schemas.openxmlformats.org/officeDocument/2006/customXml" ds:itemID="{56232BAE-F6F9-49DB-89CD-909FDC78BC91}"/>
</file>

<file path=customXml/itemProps3.xml><?xml version="1.0" encoding="utf-8"?>
<ds:datastoreItem xmlns:ds="http://schemas.openxmlformats.org/officeDocument/2006/customXml" ds:itemID="{BD1994AA-AEE4-4C83-AF38-77007D3EF83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Rodall, Valerie - ETA</dc:creator>
  <cp:keywords/>
  <dc:description/>
  <cp:lastModifiedBy>Rodall, Valerie - ETA</cp:lastModifiedBy>
  <cp:revision>3</cp:revision>
  <dcterms:created xsi:type="dcterms:W3CDTF">2024-09-12T15:36:00Z</dcterms:created>
  <dcterms:modified xsi:type="dcterms:W3CDTF">2024-09-12T18:28:00Z</dcterms:modified>
</cp:coreProperties>
</file>