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A4AA7" w14:textId="77777777" w:rsidR="0045432A" w:rsidRPr="00860638" w:rsidRDefault="0045432A" w:rsidP="0045432A">
      <w:pPr>
        <w:spacing w:after="80"/>
        <w:jc w:val="center"/>
        <w:rPr>
          <w:b/>
          <w:sz w:val="28"/>
          <w:szCs w:val="28"/>
        </w:rPr>
      </w:pPr>
      <w:bookmarkStart w:id="0" w:name="_Hlk161411167"/>
      <w:bookmarkEnd w:id="0"/>
      <w:r w:rsidRPr="00860638">
        <w:rPr>
          <w:b/>
          <w:sz w:val="28"/>
          <w:szCs w:val="28"/>
        </w:rPr>
        <w:t>Unemployment Insurance (UI) Nonmonetary Determinations</w:t>
      </w:r>
    </w:p>
    <w:p w14:paraId="047EB1F4" w14:textId="3F137F0D" w:rsidR="0045432A" w:rsidRDefault="00E4369E" w:rsidP="0045432A">
      <w:pPr>
        <w:spacing w:after="100" w:afterAutospacing="1"/>
        <w:jc w:val="center"/>
        <w:rPr>
          <w:b/>
        </w:rPr>
      </w:pPr>
      <w:r>
        <w:rPr>
          <w:b/>
        </w:rPr>
        <w:t>1</w:t>
      </w:r>
      <w:r w:rsidRPr="00E4369E">
        <w:rPr>
          <w:b/>
          <w:vertAlign w:val="superscript"/>
        </w:rPr>
        <w:t>st</w:t>
      </w:r>
      <w:r>
        <w:rPr>
          <w:b/>
        </w:rPr>
        <w:t xml:space="preserve"> </w:t>
      </w:r>
      <w:r w:rsidR="0045432A">
        <w:rPr>
          <w:b/>
        </w:rPr>
        <w:t>Quarter of 202</w:t>
      </w:r>
      <w:r>
        <w:rPr>
          <w:b/>
        </w:rPr>
        <w:t>5</w:t>
      </w:r>
    </w:p>
    <w:p w14:paraId="3374A3FB" w14:textId="77777777" w:rsidR="00E4369E" w:rsidRDefault="00E4369E" w:rsidP="00E4369E">
      <w:pPr>
        <w:rPr>
          <w:b/>
        </w:rPr>
      </w:pPr>
      <w:bookmarkStart w:id="1" w:name="_Hlk109738415"/>
      <w:r>
        <w:rPr>
          <w:b/>
        </w:rPr>
        <w:t>Workload</w:t>
      </w:r>
    </w:p>
    <w:p w14:paraId="1CC3ADBA" w14:textId="77777777" w:rsidR="00E4369E" w:rsidRDefault="00E4369E" w:rsidP="00E4369E">
      <w:r>
        <w:rPr>
          <w:noProof/>
        </w:rPr>
        <w:drawing>
          <wp:inline distT="0" distB="0" distL="0" distR="0" wp14:anchorId="496F60E0" wp14:editId="50E44EA9">
            <wp:extent cx="6688138" cy="3606801"/>
            <wp:effectExtent l="0" t="0" r="17780" b="12700"/>
            <wp:docPr id="212974372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19EC6E5F" w14:textId="77777777" w:rsidR="00E4369E" w:rsidRPr="00C93D16" w:rsidRDefault="00E4369E" w:rsidP="00E4369E">
      <w:r w:rsidRPr="00C93D16">
        <w:t xml:space="preserve">In the </w:t>
      </w:r>
      <w:r>
        <w:t>1</w:t>
      </w:r>
      <w:r w:rsidRPr="002E5C42">
        <w:rPr>
          <w:vertAlign w:val="superscript"/>
        </w:rPr>
        <w:t>st</w:t>
      </w:r>
      <w:r>
        <w:t xml:space="preserve"> </w:t>
      </w:r>
      <w:r w:rsidRPr="00C93D16">
        <w:t>quarter of 202</w:t>
      </w:r>
      <w:r>
        <w:t>5</w:t>
      </w:r>
      <w:r w:rsidRPr="00C93D16">
        <w:t xml:space="preserve">, the number of UI nonmonetary determinations </w:t>
      </w:r>
      <w:r>
        <w:t>de</w:t>
      </w:r>
      <w:r w:rsidRPr="00C93D16">
        <w:t xml:space="preserve">creased </w:t>
      </w:r>
      <w:r>
        <w:t>3.0</w:t>
      </w:r>
      <w:r w:rsidRPr="00C93D16">
        <w:t xml:space="preserve">% from the previous quarter.  The number of separation determinations </w:t>
      </w:r>
      <w:r>
        <w:t>decreased by -2.5</w:t>
      </w:r>
      <w:r w:rsidRPr="00C93D16">
        <w:t xml:space="preserve">% </w:t>
      </w:r>
      <w:r>
        <w:t xml:space="preserve">from the previous quarter </w:t>
      </w:r>
      <w:r w:rsidRPr="00C93D16">
        <w:t xml:space="preserve">and the number of nonseparation determinations </w:t>
      </w:r>
      <w:r>
        <w:t>in</w:t>
      </w:r>
      <w:r w:rsidRPr="00C93D16">
        <w:t xml:space="preserve">creased </w:t>
      </w:r>
      <w:r>
        <w:t>by</w:t>
      </w:r>
      <w:r w:rsidRPr="00C93D16">
        <w:t xml:space="preserve"> </w:t>
      </w:r>
      <w:r>
        <w:t>7.4</w:t>
      </w:r>
      <w:r w:rsidRPr="00C93D16">
        <w:t>%.</w:t>
      </w:r>
      <w:r>
        <w:t xml:space="preserve">  However, even though these categories show decreases in this quarter, workload also is showing a significant decrease compared to the same quarter in 2020 due to the impact of Covid-19 on state workload</w:t>
      </w:r>
      <w:r w:rsidRPr="00C93D16">
        <w:t>.</w:t>
      </w:r>
    </w:p>
    <w:p w14:paraId="1E52F606" w14:textId="77777777" w:rsidR="00E4369E" w:rsidRPr="00C93D16" w:rsidRDefault="00E4369E" w:rsidP="00E4369E"/>
    <w:p w14:paraId="6FB510E7" w14:textId="77777777" w:rsidR="00E4369E" w:rsidRPr="00C93D16" w:rsidRDefault="00E4369E" w:rsidP="00E4369E"/>
    <w:p w14:paraId="10566E20" w14:textId="77777777" w:rsidR="00E4369E" w:rsidRPr="00C93D16" w:rsidRDefault="00E4369E" w:rsidP="00E4369E"/>
    <w:p w14:paraId="5ECB6D02" w14:textId="77777777" w:rsidR="00E4369E" w:rsidRPr="00C93D16" w:rsidRDefault="00E4369E" w:rsidP="00E4369E"/>
    <w:p w14:paraId="3D21C616" w14:textId="77777777" w:rsidR="00E4369E" w:rsidRPr="00C93D16" w:rsidRDefault="00E4369E" w:rsidP="00E4369E"/>
    <w:p w14:paraId="53B90418" w14:textId="77777777" w:rsidR="00E4369E" w:rsidRPr="00C93D16" w:rsidRDefault="00E4369E" w:rsidP="00E4369E">
      <w:r>
        <w:rPr>
          <w:noProof/>
        </w:rPr>
        <w:lastRenderedPageBreak/>
        <w:drawing>
          <wp:inline distT="0" distB="0" distL="0" distR="0" wp14:anchorId="61AA88B4" wp14:editId="664B3D07">
            <wp:extent cx="6688138" cy="3613151"/>
            <wp:effectExtent l="0" t="0" r="17780" b="6350"/>
            <wp:docPr id="187419190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7BDEFF35" w14:textId="77777777" w:rsidR="00E4369E" w:rsidRDefault="00E4369E" w:rsidP="00E4369E">
      <w:r w:rsidRPr="00C93D16">
        <w:t xml:space="preserve">In the </w:t>
      </w:r>
      <w:r>
        <w:t>1</w:t>
      </w:r>
      <w:r w:rsidRPr="0028301D">
        <w:rPr>
          <w:vertAlign w:val="superscript"/>
        </w:rPr>
        <w:t>st</w:t>
      </w:r>
      <w:r>
        <w:t xml:space="preserve"> </w:t>
      </w:r>
      <w:r w:rsidRPr="00C93D16">
        <w:t>quarter of 202</w:t>
      </w:r>
      <w:r>
        <w:t>5</w:t>
      </w:r>
      <w:r w:rsidRPr="00C93D16">
        <w:t xml:space="preserve">, </w:t>
      </w:r>
      <w:r>
        <w:t>46</w:t>
      </w:r>
      <w:r w:rsidRPr="00C93D16">
        <w:t xml:space="preserve">% of the determinations involving separation issues resulted in a denial of UI benefits, and </w:t>
      </w:r>
      <w:r>
        <w:t>54</w:t>
      </w:r>
      <w:r w:rsidRPr="00C93D16">
        <w:t xml:space="preserve">% of the determinations concluded that the claimant was eligible for benefits. </w:t>
      </w:r>
      <w:r w:rsidRPr="002E6279">
        <w:t>This</w:t>
      </w:r>
      <w:r>
        <w:t xml:space="preserve"> </w:t>
      </w:r>
      <w:r w:rsidRPr="004C70E4">
        <w:t xml:space="preserve">ratio in the </w:t>
      </w:r>
      <w:r>
        <w:t>1</w:t>
      </w:r>
      <w:r w:rsidRPr="0028301D">
        <w:rPr>
          <w:vertAlign w:val="superscript"/>
        </w:rPr>
        <w:t>st</w:t>
      </w:r>
      <w:r>
        <w:t xml:space="preserve"> </w:t>
      </w:r>
      <w:r w:rsidRPr="004C70E4">
        <w:t>quarter of 202</w:t>
      </w:r>
      <w:r>
        <w:t>5</w:t>
      </w:r>
      <w:r w:rsidRPr="004C70E4">
        <w:t xml:space="preserve"> </w:t>
      </w:r>
      <w:r>
        <w:t>concludes that almost half of</w:t>
      </w:r>
      <w:r w:rsidRPr="004C70E4">
        <w:t xml:space="preserve"> determinations claimants </w:t>
      </w:r>
      <w:r>
        <w:t>are</w:t>
      </w:r>
      <w:r w:rsidRPr="004C70E4">
        <w:t xml:space="preserve"> </w:t>
      </w:r>
      <w:r>
        <w:t xml:space="preserve">both eligible and not </w:t>
      </w:r>
      <w:r w:rsidRPr="004C70E4">
        <w:t>eligible for benefits</w:t>
      </w:r>
      <w:r>
        <w:t>.</w:t>
      </w:r>
    </w:p>
    <w:p w14:paraId="34F18313" w14:textId="77777777" w:rsidR="00E4369E" w:rsidRPr="00C93D16" w:rsidRDefault="00E4369E" w:rsidP="00E4369E">
      <w:r>
        <w:rPr>
          <w:noProof/>
        </w:rPr>
        <w:drawing>
          <wp:inline distT="0" distB="0" distL="0" distR="0" wp14:anchorId="6F711500" wp14:editId="603F8A93">
            <wp:extent cx="6694488" cy="3613151"/>
            <wp:effectExtent l="0" t="0" r="11430" b="6350"/>
            <wp:docPr id="119044085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 w:rsidRPr="002E6279">
        <w:t xml:space="preserve"> </w:t>
      </w:r>
    </w:p>
    <w:p w14:paraId="303E3C41" w14:textId="77777777" w:rsidR="00E4369E" w:rsidRPr="00C93D16" w:rsidRDefault="00E4369E" w:rsidP="00E4369E">
      <w:r w:rsidRPr="00C93D16">
        <w:t xml:space="preserve">In the </w:t>
      </w:r>
      <w:r>
        <w:t>1</w:t>
      </w:r>
      <w:r w:rsidRPr="0028301D">
        <w:rPr>
          <w:vertAlign w:val="superscript"/>
        </w:rPr>
        <w:t>st</w:t>
      </w:r>
      <w:r>
        <w:t xml:space="preserve"> </w:t>
      </w:r>
      <w:r w:rsidRPr="00C93D16">
        <w:t>quarter of 202</w:t>
      </w:r>
      <w:r>
        <w:t>5</w:t>
      </w:r>
      <w:r w:rsidRPr="00C93D16">
        <w:t xml:space="preserve">, </w:t>
      </w:r>
      <w:r>
        <w:t>85.8</w:t>
      </w:r>
      <w:r w:rsidRPr="00C93D16">
        <w:t xml:space="preserve">% of the determinations involving nonseparation issues resulted in a denial of UI benefits, while the claimant was found to be eligible for benefits in only </w:t>
      </w:r>
      <w:r>
        <w:t>14.2</w:t>
      </w:r>
      <w:r w:rsidRPr="00C93D16">
        <w:t xml:space="preserve">% of nonseparation determinations. </w:t>
      </w:r>
      <w:r>
        <w:t>Although workload increased significantly starting with the 2</w:t>
      </w:r>
      <w:r w:rsidRPr="00F7315F">
        <w:rPr>
          <w:vertAlign w:val="superscript"/>
        </w:rPr>
        <w:t>nd</w:t>
      </w:r>
      <w:r>
        <w:t xml:space="preserve"> quarter of 2020 due to the impact of Covid-19, the ratio of denials to eligible claims remains similar for nonseparation issues.</w:t>
      </w:r>
    </w:p>
    <w:p w14:paraId="5E9A66F9" w14:textId="77777777" w:rsidR="00E4369E" w:rsidRPr="00C93D16" w:rsidRDefault="00E4369E" w:rsidP="00E4369E">
      <w:r>
        <w:rPr>
          <w:noProof/>
        </w:rPr>
        <w:lastRenderedPageBreak/>
        <w:drawing>
          <wp:inline distT="0" distB="0" distL="0" distR="0" wp14:anchorId="00B400B3" wp14:editId="148B7798">
            <wp:extent cx="6650038" cy="3022601"/>
            <wp:effectExtent l="0" t="0" r="17780" b="6350"/>
            <wp:docPr id="186678140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C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646D44BB" w14:textId="77777777" w:rsidR="00E4369E" w:rsidRPr="00C93D16" w:rsidRDefault="00E4369E" w:rsidP="00E4369E">
      <w:r w:rsidRPr="00C93D16">
        <w:t xml:space="preserve">In the </w:t>
      </w:r>
      <w:r>
        <w:t>1</w:t>
      </w:r>
      <w:r w:rsidRPr="00B77D9A">
        <w:rPr>
          <w:vertAlign w:val="superscript"/>
        </w:rPr>
        <w:t>st</w:t>
      </w:r>
      <w:r>
        <w:t xml:space="preserve"> </w:t>
      </w:r>
      <w:r w:rsidRPr="00C93D16">
        <w:t>quarter of 202</w:t>
      </w:r>
      <w:r>
        <w:t>5</w:t>
      </w:r>
      <w:r w:rsidRPr="00C93D16">
        <w:t xml:space="preserve">, </w:t>
      </w:r>
      <w:r>
        <w:t>71</w:t>
      </w:r>
      <w:r w:rsidRPr="00C93D16">
        <w:t xml:space="preserve">% of the determinations involving separation issues due to </w:t>
      </w:r>
      <w:r>
        <w:t>discharge</w:t>
      </w:r>
      <w:r w:rsidRPr="00C93D16">
        <w:t xml:space="preserve">, </w:t>
      </w:r>
      <w:r>
        <w:t>29</w:t>
      </w:r>
      <w:r w:rsidRPr="00C93D16">
        <w:t xml:space="preserve">% </w:t>
      </w:r>
      <w:r>
        <w:t xml:space="preserve">were </w:t>
      </w:r>
      <w:r w:rsidRPr="00C93D16">
        <w:t>due</w:t>
      </w:r>
      <w:r>
        <w:t xml:space="preserve"> </w:t>
      </w:r>
      <w:r w:rsidRPr="00C93D16">
        <w:t xml:space="preserve">to </w:t>
      </w:r>
      <w:r>
        <w:t>voluntary leave</w:t>
      </w:r>
      <w:r w:rsidRPr="00C93D16">
        <w:t xml:space="preserve">, and </w:t>
      </w:r>
      <w:r>
        <w:t>0.1</w:t>
      </w:r>
      <w:r w:rsidRPr="00C93D16">
        <w:t>% due to other reasons.</w:t>
      </w:r>
      <w:r>
        <w:t xml:space="preserve"> </w:t>
      </w:r>
    </w:p>
    <w:p w14:paraId="4EF2B7D0" w14:textId="77777777" w:rsidR="00E4369E" w:rsidRPr="00C93D16" w:rsidRDefault="00E4369E" w:rsidP="00E4369E">
      <w:r>
        <w:rPr>
          <w:noProof/>
        </w:rPr>
        <w:drawing>
          <wp:inline distT="0" distB="0" distL="0" distR="0" wp14:anchorId="4577CE46" wp14:editId="2031206C">
            <wp:extent cx="6836735" cy="4540103"/>
            <wp:effectExtent l="0" t="0" r="2540" b="13335"/>
            <wp:docPr id="6173986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F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50828665" w14:textId="77777777" w:rsidR="00E4369E" w:rsidRPr="00C93D16" w:rsidRDefault="00E4369E" w:rsidP="00E4369E">
      <w:r w:rsidRPr="00C93D16">
        <w:t xml:space="preserve">In the </w:t>
      </w:r>
      <w:r>
        <w:t>1</w:t>
      </w:r>
      <w:r w:rsidRPr="00B77D9A">
        <w:rPr>
          <w:vertAlign w:val="superscript"/>
        </w:rPr>
        <w:t>st</w:t>
      </w:r>
      <w:r>
        <w:t xml:space="preserve"> </w:t>
      </w:r>
      <w:r w:rsidRPr="00C93D16">
        <w:t>quarter of 202</w:t>
      </w:r>
      <w:r>
        <w:t>5</w:t>
      </w:r>
      <w:r w:rsidRPr="00C93D16">
        <w:t xml:space="preserve">, </w:t>
      </w:r>
      <w:r>
        <w:t>77.5</w:t>
      </w:r>
      <w:r w:rsidRPr="00C93D16">
        <w:t xml:space="preserve">% of the determinations where the claimant </w:t>
      </w:r>
      <w:r>
        <w:t xml:space="preserve">voluntary </w:t>
      </w:r>
      <w:r w:rsidRPr="00C93D16">
        <w:t>left the job</w:t>
      </w:r>
      <w:r>
        <w:t>,</w:t>
      </w:r>
      <w:r w:rsidRPr="00C93D16">
        <w:t xml:space="preserve"> resu</w:t>
      </w:r>
      <w:r>
        <w:t>lted in a denial of eligibility.  In contrast,</w:t>
      </w:r>
      <w:r w:rsidRPr="00C93D16">
        <w:t xml:space="preserve"> states issued denials for only </w:t>
      </w:r>
      <w:r>
        <w:t>33.1%</w:t>
      </w:r>
      <w:r w:rsidRPr="00C93D16">
        <w:t xml:space="preserve"> of the determinations where the claimant was discharged from the job.</w:t>
      </w:r>
    </w:p>
    <w:p w14:paraId="3A6AB6BF" w14:textId="77777777" w:rsidR="00E4369E" w:rsidRPr="00C93D16" w:rsidRDefault="00E4369E" w:rsidP="00E4369E">
      <w:r>
        <w:rPr>
          <w:noProof/>
        </w:rPr>
        <w:lastRenderedPageBreak/>
        <w:drawing>
          <wp:inline distT="0" distB="0" distL="0" distR="0" wp14:anchorId="17B587E2" wp14:editId="2A2AA8DE">
            <wp:extent cx="6802438" cy="3357182"/>
            <wp:effectExtent l="0" t="0" r="17780" b="15240"/>
            <wp:docPr id="20739625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0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AF18000" w14:textId="77777777" w:rsidR="00E4369E" w:rsidRPr="00C93D16" w:rsidRDefault="00E4369E" w:rsidP="00E4369E">
      <w:r w:rsidRPr="00C93D16">
        <w:t xml:space="preserve">In the </w:t>
      </w:r>
      <w:r>
        <w:t>1</w:t>
      </w:r>
      <w:r w:rsidRPr="003910B9">
        <w:rPr>
          <w:vertAlign w:val="superscript"/>
        </w:rPr>
        <w:t>st</w:t>
      </w:r>
      <w:r>
        <w:t xml:space="preserve"> </w:t>
      </w:r>
      <w:r w:rsidRPr="00C93D16">
        <w:t>quarter of 202</w:t>
      </w:r>
      <w:r>
        <w:t>5</w:t>
      </w:r>
      <w:r w:rsidRPr="00C93D16">
        <w:t>, the largest category of nonseparation determinations (</w:t>
      </w:r>
      <w:r>
        <w:t>37.8</w:t>
      </w:r>
      <w:r w:rsidRPr="00C93D16">
        <w:t xml:space="preserve">%) </w:t>
      </w:r>
      <w:r>
        <w:t>is R</w:t>
      </w:r>
      <w:r w:rsidRPr="00C93D16">
        <w:t xml:space="preserve">eporting </w:t>
      </w:r>
      <w:r>
        <w:t>R</w:t>
      </w:r>
      <w:r w:rsidRPr="00C93D16">
        <w:t xml:space="preserve">equirement </w:t>
      </w:r>
      <w:r>
        <w:t>C</w:t>
      </w:r>
      <w:r w:rsidRPr="00C93D16">
        <w:t xml:space="preserve">all-ins and </w:t>
      </w:r>
      <w:r>
        <w:t>O</w:t>
      </w:r>
      <w:r w:rsidRPr="00C93D16">
        <w:t xml:space="preserve">ther. The </w:t>
      </w:r>
      <w:r>
        <w:t>next</w:t>
      </w:r>
      <w:r w:rsidRPr="00C93D16">
        <w:t xml:space="preserve"> largest category</w:t>
      </w:r>
      <w:r>
        <w:t xml:space="preserve"> (34.7%) was</w:t>
      </w:r>
      <w:r w:rsidRPr="00C93D16">
        <w:t xml:space="preserve"> </w:t>
      </w:r>
      <w:r>
        <w:t>Able, Available, Actively Seeking Employment,</w:t>
      </w:r>
      <w:r w:rsidRPr="002E6279">
        <w:t xml:space="preserve"> </w:t>
      </w:r>
      <w:r>
        <w:t xml:space="preserve">which is like 2019 and earlier. </w:t>
      </w:r>
    </w:p>
    <w:p w14:paraId="0DC845D6" w14:textId="77777777" w:rsidR="00E4369E" w:rsidRPr="00C93D16" w:rsidRDefault="00E4369E" w:rsidP="00E4369E">
      <w:r>
        <w:rPr>
          <w:noProof/>
        </w:rPr>
        <w:drawing>
          <wp:inline distT="0" distB="0" distL="0" distR="0" wp14:anchorId="419D163A" wp14:editId="426A9725">
            <wp:extent cx="6704013" cy="3613151"/>
            <wp:effectExtent l="0" t="0" r="1905" b="6350"/>
            <wp:docPr id="160497574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572BE14E" w14:textId="77777777" w:rsidR="00E4369E" w:rsidRDefault="00E4369E" w:rsidP="00E4369E">
      <w:r w:rsidRPr="00C93D16">
        <w:t xml:space="preserve">In the </w:t>
      </w:r>
      <w:r>
        <w:t>1</w:t>
      </w:r>
      <w:r w:rsidRPr="003910B9">
        <w:rPr>
          <w:vertAlign w:val="superscript"/>
        </w:rPr>
        <w:t>st</w:t>
      </w:r>
      <w:r>
        <w:t xml:space="preserve"> </w:t>
      </w:r>
      <w:r w:rsidRPr="00C93D16">
        <w:t>quarter of 202</w:t>
      </w:r>
      <w:r>
        <w:t>5</w:t>
      </w:r>
      <w:r w:rsidRPr="00C93D16">
        <w:t>, the category of nonseparation determinations with the highest denial rate was “Disqualifying/Deductible Income” with 100%, followed by</w:t>
      </w:r>
      <w:r>
        <w:t xml:space="preserve"> </w:t>
      </w:r>
      <w:r w:rsidRPr="00C93D16">
        <w:t>“</w:t>
      </w:r>
      <w:r>
        <w:t>Reporting Requirement Call-ins and Other</w:t>
      </w:r>
      <w:r w:rsidRPr="00C93D16">
        <w:t xml:space="preserve">” with </w:t>
      </w:r>
      <w:r>
        <w:t>89.5</w:t>
      </w:r>
      <w:r w:rsidRPr="00C93D16">
        <w:t>%</w:t>
      </w:r>
      <w:r>
        <w:t xml:space="preserve"> and </w:t>
      </w:r>
      <w:r w:rsidRPr="00C93D16">
        <w:t>“</w:t>
      </w:r>
      <w:r>
        <w:t>Able, Available, Actively Seeking</w:t>
      </w:r>
      <w:r w:rsidRPr="00C93D16">
        <w:t xml:space="preserve">” with </w:t>
      </w:r>
      <w:r>
        <w:t>86.3</w:t>
      </w:r>
      <w:r w:rsidRPr="00C93D16">
        <w:t>%</w:t>
      </w:r>
      <w:r>
        <w:t>.</w:t>
      </w:r>
    </w:p>
    <w:bookmarkEnd w:id="1"/>
    <w:p w14:paraId="149343CD" w14:textId="426DF5C0" w:rsidR="00041F7A" w:rsidRDefault="00041F7A">
      <w:r w:rsidRPr="006C7B31">
        <w:rPr>
          <w:i/>
          <w:sz w:val="20"/>
          <w:szCs w:val="20"/>
        </w:rPr>
        <w:t>This report was produced on</w:t>
      </w:r>
      <w:r w:rsidR="00CE43B9">
        <w:rPr>
          <w:i/>
          <w:sz w:val="20"/>
          <w:szCs w:val="20"/>
        </w:rPr>
        <w:t xml:space="preserve"> </w:t>
      </w:r>
      <w:r w:rsidR="002F0592">
        <w:rPr>
          <w:i/>
          <w:sz w:val="20"/>
          <w:szCs w:val="20"/>
        </w:rPr>
        <w:t>0</w:t>
      </w:r>
      <w:r w:rsidR="00E4369E">
        <w:rPr>
          <w:i/>
          <w:sz w:val="20"/>
          <w:szCs w:val="20"/>
        </w:rPr>
        <w:t>8</w:t>
      </w:r>
      <w:r w:rsidR="00BE0B1E">
        <w:rPr>
          <w:i/>
          <w:sz w:val="20"/>
          <w:szCs w:val="20"/>
        </w:rPr>
        <w:t>/</w:t>
      </w:r>
      <w:r w:rsidR="00E4369E">
        <w:rPr>
          <w:i/>
          <w:sz w:val="20"/>
          <w:szCs w:val="20"/>
        </w:rPr>
        <w:t>21</w:t>
      </w:r>
      <w:r>
        <w:rPr>
          <w:i/>
          <w:sz w:val="20"/>
          <w:szCs w:val="20"/>
        </w:rPr>
        <w:t>/202</w:t>
      </w:r>
      <w:r w:rsidR="002F0592">
        <w:rPr>
          <w:i/>
          <w:sz w:val="20"/>
          <w:szCs w:val="20"/>
        </w:rPr>
        <w:t>5</w:t>
      </w:r>
      <w:r>
        <w:rPr>
          <w:i/>
          <w:sz w:val="20"/>
          <w:szCs w:val="20"/>
        </w:rPr>
        <w:t xml:space="preserve"> b</w:t>
      </w:r>
      <w:r w:rsidRPr="006C7B31">
        <w:rPr>
          <w:i/>
          <w:sz w:val="20"/>
          <w:szCs w:val="20"/>
        </w:rPr>
        <w:t>y the Office of Unemployment Insurance, Division of Performance Management.</w:t>
      </w:r>
    </w:p>
    <w:sectPr w:rsidR="00041F7A" w:rsidSect="004543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F7A"/>
    <w:rsid w:val="0004075F"/>
    <w:rsid w:val="00041F7A"/>
    <w:rsid w:val="00045F06"/>
    <w:rsid w:val="000768EF"/>
    <w:rsid w:val="001126F9"/>
    <w:rsid w:val="0012691F"/>
    <w:rsid w:val="001E1C99"/>
    <w:rsid w:val="002D3538"/>
    <w:rsid w:val="002D6AC7"/>
    <w:rsid w:val="002E4EA9"/>
    <w:rsid w:val="002F0592"/>
    <w:rsid w:val="00401789"/>
    <w:rsid w:val="00420D21"/>
    <w:rsid w:val="0045432A"/>
    <w:rsid w:val="00477C49"/>
    <w:rsid w:val="00490459"/>
    <w:rsid w:val="004A66AC"/>
    <w:rsid w:val="004C6F9C"/>
    <w:rsid w:val="004D7091"/>
    <w:rsid w:val="0052310C"/>
    <w:rsid w:val="00590E37"/>
    <w:rsid w:val="005A4675"/>
    <w:rsid w:val="006270DF"/>
    <w:rsid w:val="00680C14"/>
    <w:rsid w:val="006A5C5D"/>
    <w:rsid w:val="00790749"/>
    <w:rsid w:val="0079233F"/>
    <w:rsid w:val="007A6221"/>
    <w:rsid w:val="007C0C3B"/>
    <w:rsid w:val="008712D0"/>
    <w:rsid w:val="008C3B42"/>
    <w:rsid w:val="00946B2E"/>
    <w:rsid w:val="00952F94"/>
    <w:rsid w:val="00977758"/>
    <w:rsid w:val="009C590A"/>
    <w:rsid w:val="00B95303"/>
    <w:rsid w:val="00BB1081"/>
    <w:rsid w:val="00BE0B1E"/>
    <w:rsid w:val="00C33BDC"/>
    <w:rsid w:val="00C81963"/>
    <w:rsid w:val="00CC2EB1"/>
    <w:rsid w:val="00CE43B9"/>
    <w:rsid w:val="00D25AF7"/>
    <w:rsid w:val="00D425D9"/>
    <w:rsid w:val="00D46E6B"/>
    <w:rsid w:val="00D96A47"/>
    <w:rsid w:val="00E10C8B"/>
    <w:rsid w:val="00E4369E"/>
    <w:rsid w:val="00E83BED"/>
    <w:rsid w:val="00F15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68242"/>
  <w15:chartTrackingRefBased/>
  <w15:docId w15:val="{B6B53AE2-C6B2-4EEE-87A7-B65326DA6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1F7A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fontTable" Target="fontTable.xml"/><Relationship Id="rId5" Type="http://schemas.openxmlformats.org/officeDocument/2006/relationships/chart" Target="charts/chart2.xml"/><Relationship Id="rId15" Type="http://schemas.openxmlformats.org/officeDocument/2006/relationships/customXml" Target="../customXml/item3.xml"/><Relationship Id="rId10" Type="http://schemas.openxmlformats.org/officeDocument/2006/relationships/chart" Target="charts/chart7.xml"/><Relationship Id="rId4" Type="http://schemas.openxmlformats.org/officeDocument/2006/relationships/chart" Target="charts/chart1.xml"/><Relationship Id="rId9" Type="http://schemas.openxmlformats.org/officeDocument/2006/relationships/chart" Target="charts/chart6.xml"/><Relationship Id="rId14" Type="http://schemas.openxmlformats.org/officeDocument/2006/relationships/customXml" Target="../customXml/item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</a:t>
            </a:r>
            <a:r>
              <a:rPr lang="en-US" sz="1400" baseline="0"/>
              <a:t> Determinations </a:t>
            </a:r>
          </a:p>
          <a:p>
            <a:pPr>
              <a:defRPr sz="1400"/>
            </a:pPr>
            <a:r>
              <a:rPr lang="en-US" sz="1400" baseline="0"/>
              <a:t>by Quarter</a:t>
            </a:r>
            <a:endParaRPr lang="en-US" sz="1400"/>
          </a:p>
        </c:rich>
      </c:tx>
      <c:overlay val="0"/>
    </c:title>
    <c:autoTitleDeleted val="0"/>
    <c:plotArea>
      <c:layout/>
      <c:barChart>
        <c:barDir val="col"/>
        <c:grouping val="stacked"/>
        <c:varyColors val="0"/>
        <c:ser>
          <c:idx val="1"/>
          <c:order val="0"/>
          <c:tx>
            <c:strRef>
              <c:f>Workload_ar207!$B$4</c:f>
              <c:strCache>
                <c:ptCount val="1"/>
                <c:pt idx="0">
                  <c:v>Separations</c:v>
                </c:pt>
              </c:strCache>
            </c:strRef>
          </c:tx>
          <c:invertIfNegative val="0"/>
          <c:cat>
            <c:numRef>
              <c:f>Workload_ar207!$A$5:$A$24</c:f>
              <c:numCache>
                <c:formatCode>General</c:formatCode>
                <c:ptCount val="20"/>
                <c:pt idx="0">
                  <c:v>2020.2</c:v>
                </c:pt>
                <c:pt idx="1">
                  <c:v>2020.3</c:v>
                </c:pt>
                <c:pt idx="2" formatCode="0.0">
                  <c:v>2020.4</c:v>
                </c:pt>
                <c:pt idx="3" formatCode="0.0">
                  <c:v>2021.1</c:v>
                </c:pt>
                <c:pt idx="4" formatCode="0.0">
                  <c:v>2021.2</c:v>
                </c:pt>
                <c:pt idx="5" formatCode="0.0">
                  <c:v>2021.3</c:v>
                </c:pt>
                <c:pt idx="6" formatCode="0.0">
                  <c:v>2021.4</c:v>
                </c:pt>
                <c:pt idx="7" formatCode="0.0">
                  <c:v>2022.1</c:v>
                </c:pt>
                <c:pt idx="8" formatCode="0.0">
                  <c:v>2022.2</c:v>
                </c:pt>
                <c:pt idx="9" formatCode="0.0">
                  <c:v>2022.3</c:v>
                </c:pt>
                <c:pt idx="10" formatCode="0.0">
                  <c:v>2022.4</c:v>
                </c:pt>
                <c:pt idx="11" formatCode="0.0">
                  <c:v>2023.1</c:v>
                </c:pt>
                <c:pt idx="12" formatCode="0.0">
                  <c:v>2023.2</c:v>
                </c:pt>
                <c:pt idx="13" formatCode="0.0">
                  <c:v>2023.3</c:v>
                </c:pt>
                <c:pt idx="14" formatCode="0.0">
                  <c:v>2023.4</c:v>
                </c:pt>
                <c:pt idx="15" formatCode="0.0">
                  <c:v>2024.1</c:v>
                </c:pt>
                <c:pt idx="16" formatCode="0.0">
                  <c:v>2024.2</c:v>
                </c:pt>
                <c:pt idx="17" formatCode="0.0">
                  <c:v>2024.3</c:v>
                </c:pt>
                <c:pt idx="18" formatCode="0.0">
                  <c:v>2024.4</c:v>
                </c:pt>
                <c:pt idx="19" formatCode="0.0">
                  <c:v>2025.1</c:v>
                </c:pt>
              </c:numCache>
            </c:numRef>
          </c:cat>
          <c:val>
            <c:numRef>
              <c:f>Workload_ar207!$B$5:$B$24</c:f>
              <c:numCache>
                <c:formatCode>#,##0</c:formatCode>
                <c:ptCount val="20"/>
                <c:pt idx="0">
                  <c:v>1296776</c:v>
                </c:pt>
                <c:pt idx="1">
                  <c:v>1032490</c:v>
                </c:pt>
                <c:pt idx="2">
                  <c:v>851009</c:v>
                </c:pt>
                <c:pt idx="3">
                  <c:v>877141</c:v>
                </c:pt>
                <c:pt idx="4">
                  <c:v>815832</c:v>
                </c:pt>
                <c:pt idx="5">
                  <c:v>785757</c:v>
                </c:pt>
                <c:pt idx="6">
                  <c:v>750394</c:v>
                </c:pt>
                <c:pt idx="7">
                  <c:v>783883</c:v>
                </c:pt>
                <c:pt idx="8">
                  <c:v>755953</c:v>
                </c:pt>
                <c:pt idx="9">
                  <c:v>774283</c:v>
                </c:pt>
                <c:pt idx="10">
                  <c:v>712340</c:v>
                </c:pt>
                <c:pt idx="11">
                  <c:v>755642</c:v>
                </c:pt>
                <c:pt idx="12">
                  <c:v>751082</c:v>
                </c:pt>
                <c:pt idx="13">
                  <c:v>739570</c:v>
                </c:pt>
                <c:pt idx="14">
                  <c:v>742956</c:v>
                </c:pt>
                <c:pt idx="15">
                  <c:v>771156</c:v>
                </c:pt>
                <c:pt idx="16">
                  <c:v>719429</c:v>
                </c:pt>
                <c:pt idx="17">
                  <c:v>796336</c:v>
                </c:pt>
                <c:pt idx="18">
                  <c:v>762711</c:v>
                </c:pt>
                <c:pt idx="19">
                  <c:v>743785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4C8-46AC-8FFE-5A0F1E494D96}"/>
            </c:ext>
          </c:extLst>
        </c:ser>
        <c:ser>
          <c:idx val="2"/>
          <c:order val="1"/>
          <c:tx>
            <c:strRef>
              <c:f>Workload_ar207!$C$4</c:f>
              <c:strCache>
                <c:ptCount val="1"/>
                <c:pt idx="0">
                  <c:v>Nonseparations</c:v>
                </c:pt>
              </c:strCache>
            </c:strRef>
          </c:tx>
          <c:invertIfNegative val="0"/>
          <c:cat>
            <c:numRef>
              <c:f>Workload_ar207!$A$5:$A$24</c:f>
              <c:numCache>
                <c:formatCode>General</c:formatCode>
                <c:ptCount val="20"/>
                <c:pt idx="0">
                  <c:v>2020.2</c:v>
                </c:pt>
                <c:pt idx="1">
                  <c:v>2020.3</c:v>
                </c:pt>
                <c:pt idx="2" formatCode="0.0">
                  <c:v>2020.4</c:v>
                </c:pt>
                <c:pt idx="3" formatCode="0.0">
                  <c:v>2021.1</c:v>
                </c:pt>
                <c:pt idx="4" formatCode="0.0">
                  <c:v>2021.2</c:v>
                </c:pt>
                <c:pt idx="5" formatCode="0.0">
                  <c:v>2021.3</c:v>
                </c:pt>
                <c:pt idx="6" formatCode="0.0">
                  <c:v>2021.4</c:v>
                </c:pt>
                <c:pt idx="7" formatCode="0.0">
                  <c:v>2022.1</c:v>
                </c:pt>
                <c:pt idx="8" formatCode="0.0">
                  <c:v>2022.2</c:v>
                </c:pt>
                <c:pt idx="9" formatCode="0.0">
                  <c:v>2022.3</c:v>
                </c:pt>
                <c:pt idx="10" formatCode="0.0">
                  <c:v>2022.4</c:v>
                </c:pt>
                <c:pt idx="11" formatCode="0.0">
                  <c:v>2023.1</c:v>
                </c:pt>
                <c:pt idx="12" formatCode="0.0">
                  <c:v>2023.2</c:v>
                </c:pt>
                <c:pt idx="13" formatCode="0.0">
                  <c:v>2023.3</c:v>
                </c:pt>
                <c:pt idx="14" formatCode="0.0">
                  <c:v>2023.4</c:v>
                </c:pt>
                <c:pt idx="15" formatCode="0.0">
                  <c:v>2024.1</c:v>
                </c:pt>
                <c:pt idx="16" formatCode="0.0">
                  <c:v>2024.2</c:v>
                </c:pt>
                <c:pt idx="17" formatCode="0.0">
                  <c:v>2024.3</c:v>
                </c:pt>
                <c:pt idx="18" formatCode="0.0">
                  <c:v>2024.4</c:v>
                </c:pt>
                <c:pt idx="19" formatCode="0.0">
                  <c:v>2025.1</c:v>
                </c:pt>
              </c:numCache>
            </c:numRef>
          </c:cat>
          <c:val>
            <c:numRef>
              <c:f>Workload_ar207!$C$5:$C$24</c:f>
              <c:numCache>
                <c:formatCode>#,##0</c:formatCode>
                <c:ptCount val="20"/>
                <c:pt idx="0">
                  <c:v>1577914</c:v>
                </c:pt>
                <c:pt idx="1">
                  <c:v>1554526</c:v>
                </c:pt>
                <c:pt idx="2">
                  <c:v>1520077</c:v>
                </c:pt>
                <c:pt idx="3">
                  <c:v>1363166</c:v>
                </c:pt>
                <c:pt idx="4">
                  <c:v>1736749</c:v>
                </c:pt>
                <c:pt idx="5">
                  <c:v>1759659</c:v>
                </c:pt>
                <c:pt idx="6">
                  <c:v>1399459</c:v>
                </c:pt>
                <c:pt idx="7">
                  <c:v>1399145</c:v>
                </c:pt>
                <c:pt idx="8">
                  <c:v>1099205</c:v>
                </c:pt>
                <c:pt idx="9">
                  <c:v>1053933</c:v>
                </c:pt>
                <c:pt idx="10">
                  <c:v>905475</c:v>
                </c:pt>
                <c:pt idx="11">
                  <c:v>1051508</c:v>
                </c:pt>
                <c:pt idx="12">
                  <c:v>991016</c:v>
                </c:pt>
                <c:pt idx="13">
                  <c:v>960014</c:v>
                </c:pt>
                <c:pt idx="14">
                  <c:v>947967</c:v>
                </c:pt>
                <c:pt idx="15">
                  <c:v>1163337</c:v>
                </c:pt>
                <c:pt idx="16">
                  <c:v>942060</c:v>
                </c:pt>
                <c:pt idx="17">
                  <c:v>1058442</c:v>
                </c:pt>
                <c:pt idx="18">
                  <c:v>945849</c:v>
                </c:pt>
                <c:pt idx="19">
                  <c:v>1016228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4C8-46AC-8FFE-5A0F1E494D9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132652032"/>
        <c:axId val="132654208"/>
      </c:barChart>
      <c:catAx>
        <c:axId val="13265203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Quarter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32654208"/>
        <c:crosses val="autoZero"/>
        <c:auto val="1"/>
        <c:lblAlgn val="ctr"/>
        <c:lblOffset val="100"/>
        <c:noMultiLvlLbl val="0"/>
      </c:catAx>
      <c:valAx>
        <c:axId val="132654208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Determinations</a:t>
                </a:r>
              </a:p>
            </c:rich>
          </c:tx>
          <c:overlay val="0"/>
        </c:title>
        <c:numFmt formatCode="#,##0" sourceLinked="1"/>
        <c:majorTickMark val="none"/>
        <c:minorTickMark val="none"/>
        <c:tickLblPos val="nextTo"/>
        <c:spPr>
          <a:ln w="9525">
            <a:noFill/>
          </a:ln>
        </c:spPr>
        <c:crossAx val="132652032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</a:t>
            </a:r>
            <a:r>
              <a:rPr lang="en-US" sz="1400" baseline="0"/>
              <a:t> Separation Determinations </a:t>
            </a:r>
          </a:p>
          <a:p>
            <a:pPr>
              <a:defRPr sz="1400"/>
            </a:pPr>
            <a:r>
              <a:rPr lang="en-US" sz="1400" baseline="0"/>
              <a:t>by Quarter</a:t>
            </a:r>
            <a:endParaRPr lang="en-US" sz="1400"/>
          </a:p>
        </c:rich>
      </c:tx>
      <c:overlay val="0"/>
    </c:title>
    <c:autoTitleDeleted val="0"/>
    <c:plotArea>
      <c:layout/>
      <c:barChart>
        <c:barDir val="col"/>
        <c:grouping val="stacked"/>
        <c:varyColors val="0"/>
        <c:ser>
          <c:idx val="1"/>
          <c:order val="0"/>
          <c:tx>
            <c:strRef>
              <c:f>Workload_ar207!$B$29</c:f>
              <c:strCache>
                <c:ptCount val="1"/>
                <c:pt idx="0">
                  <c:v>Denials</c:v>
                </c:pt>
              </c:strCache>
            </c:strRef>
          </c:tx>
          <c:invertIfNegative val="0"/>
          <c:cat>
            <c:numRef>
              <c:f>Workload_ar207!$A$30:$A$49</c:f>
              <c:numCache>
                <c:formatCode>General</c:formatCode>
                <c:ptCount val="20"/>
                <c:pt idx="0">
                  <c:v>2020.2</c:v>
                </c:pt>
                <c:pt idx="1">
                  <c:v>2020.3</c:v>
                </c:pt>
                <c:pt idx="2">
                  <c:v>2020.4</c:v>
                </c:pt>
                <c:pt idx="3" formatCode="0.0">
                  <c:v>2021.1</c:v>
                </c:pt>
                <c:pt idx="4" formatCode="0.0">
                  <c:v>2021.2</c:v>
                </c:pt>
                <c:pt idx="5" formatCode="0.0">
                  <c:v>2021.3</c:v>
                </c:pt>
                <c:pt idx="6" formatCode="0.0">
                  <c:v>2021.4</c:v>
                </c:pt>
                <c:pt idx="7" formatCode="0.0">
                  <c:v>2022.1</c:v>
                </c:pt>
                <c:pt idx="8" formatCode="0.0">
                  <c:v>2022.2</c:v>
                </c:pt>
                <c:pt idx="9" formatCode="0.0">
                  <c:v>2022.3</c:v>
                </c:pt>
                <c:pt idx="10" formatCode="0.0">
                  <c:v>2022.4</c:v>
                </c:pt>
                <c:pt idx="11" formatCode="0.0">
                  <c:v>2023.1</c:v>
                </c:pt>
                <c:pt idx="12" formatCode="0.0">
                  <c:v>2023.2</c:v>
                </c:pt>
                <c:pt idx="13" formatCode="0.0">
                  <c:v>2023.3</c:v>
                </c:pt>
                <c:pt idx="14" formatCode="0.0">
                  <c:v>2023.4</c:v>
                </c:pt>
                <c:pt idx="15" formatCode="0.0">
                  <c:v>2024.1</c:v>
                </c:pt>
                <c:pt idx="16" formatCode="0.0">
                  <c:v>2024.2</c:v>
                </c:pt>
                <c:pt idx="17" formatCode="0.0">
                  <c:v>2024.3</c:v>
                </c:pt>
                <c:pt idx="18" formatCode="0.0">
                  <c:v>2024.4</c:v>
                </c:pt>
                <c:pt idx="19" formatCode="0.0">
                  <c:v>2025.1</c:v>
                </c:pt>
              </c:numCache>
            </c:numRef>
          </c:cat>
          <c:val>
            <c:numRef>
              <c:f>Workload_ar207!$B$30:$B$49</c:f>
              <c:numCache>
                <c:formatCode>#,##0</c:formatCode>
                <c:ptCount val="20"/>
                <c:pt idx="0">
                  <c:v>479055</c:v>
                </c:pt>
                <c:pt idx="1">
                  <c:v>643872</c:v>
                </c:pt>
                <c:pt idx="2">
                  <c:v>521453</c:v>
                </c:pt>
                <c:pt idx="3">
                  <c:v>518299</c:v>
                </c:pt>
                <c:pt idx="4">
                  <c:v>481353</c:v>
                </c:pt>
                <c:pt idx="5">
                  <c:v>452207</c:v>
                </c:pt>
                <c:pt idx="6">
                  <c:v>430138</c:v>
                </c:pt>
                <c:pt idx="7">
                  <c:v>439567</c:v>
                </c:pt>
                <c:pt idx="8">
                  <c:v>421902</c:v>
                </c:pt>
                <c:pt idx="9">
                  <c:v>415688</c:v>
                </c:pt>
                <c:pt idx="10">
                  <c:v>353282</c:v>
                </c:pt>
                <c:pt idx="11">
                  <c:v>373483</c:v>
                </c:pt>
                <c:pt idx="12">
                  <c:v>356387</c:v>
                </c:pt>
                <c:pt idx="13">
                  <c:v>364892</c:v>
                </c:pt>
                <c:pt idx="14">
                  <c:v>360910</c:v>
                </c:pt>
                <c:pt idx="15">
                  <c:v>372964</c:v>
                </c:pt>
                <c:pt idx="16">
                  <c:v>343541</c:v>
                </c:pt>
                <c:pt idx="17">
                  <c:v>383204</c:v>
                </c:pt>
                <c:pt idx="18">
                  <c:v>358199</c:v>
                </c:pt>
                <c:pt idx="19">
                  <c:v>341831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8B6-4273-A0C5-BEE56B02D763}"/>
            </c:ext>
          </c:extLst>
        </c:ser>
        <c:ser>
          <c:idx val="2"/>
          <c:order val="1"/>
          <c:tx>
            <c:strRef>
              <c:f>Workload_ar207!$C$29</c:f>
              <c:strCache>
                <c:ptCount val="1"/>
                <c:pt idx="0">
                  <c:v>Eligibles</c:v>
                </c:pt>
              </c:strCache>
            </c:strRef>
          </c:tx>
          <c:invertIfNegative val="0"/>
          <c:cat>
            <c:numRef>
              <c:f>Workload_ar207!$A$30:$A$49</c:f>
              <c:numCache>
                <c:formatCode>General</c:formatCode>
                <c:ptCount val="20"/>
                <c:pt idx="0">
                  <c:v>2020.2</c:v>
                </c:pt>
                <c:pt idx="1">
                  <c:v>2020.3</c:v>
                </c:pt>
                <c:pt idx="2">
                  <c:v>2020.4</c:v>
                </c:pt>
                <c:pt idx="3" formatCode="0.0">
                  <c:v>2021.1</c:v>
                </c:pt>
                <c:pt idx="4" formatCode="0.0">
                  <c:v>2021.2</c:v>
                </c:pt>
                <c:pt idx="5" formatCode="0.0">
                  <c:v>2021.3</c:v>
                </c:pt>
                <c:pt idx="6" formatCode="0.0">
                  <c:v>2021.4</c:v>
                </c:pt>
                <c:pt idx="7" formatCode="0.0">
                  <c:v>2022.1</c:v>
                </c:pt>
                <c:pt idx="8" formatCode="0.0">
                  <c:v>2022.2</c:v>
                </c:pt>
                <c:pt idx="9" formatCode="0.0">
                  <c:v>2022.3</c:v>
                </c:pt>
                <c:pt idx="10" formatCode="0.0">
                  <c:v>2022.4</c:v>
                </c:pt>
                <c:pt idx="11" formatCode="0.0">
                  <c:v>2023.1</c:v>
                </c:pt>
                <c:pt idx="12" formatCode="0.0">
                  <c:v>2023.2</c:v>
                </c:pt>
                <c:pt idx="13" formatCode="0.0">
                  <c:v>2023.3</c:v>
                </c:pt>
                <c:pt idx="14" formatCode="0.0">
                  <c:v>2023.4</c:v>
                </c:pt>
                <c:pt idx="15" formatCode="0.0">
                  <c:v>2024.1</c:v>
                </c:pt>
                <c:pt idx="16" formatCode="0.0">
                  <c:v>2024.2</c:v>
                </c:pt>
                <c:pt idx="17" formatCode="0.0">
                  <c:v>2024.3</c:v>
                </c:pt>
                <c:pt idx="18" formatCode="0.0">
                  <c:v>2024.4</c:v>
                </c:pt>
                <c:pt idx="19" formatCode="0.0">
                  <c:v>2025.1</c:v>
                </c:pt>
              </c:numCache>
            </c:numRef>
          </c:cat>
          <c:val>
            <c:numRef>
              <c:f>Workload_ar207!$C$30:$C$49</c:f>
              <c:numCache>
                <c:formatCode>#,##0</c:formatCode>
                <c:ptCount val="20"/>
                <c:pt idx="0">
                  <c:v>817721</c:v>
                </c:pt>
                <c:pt idx="1">
                  <c:v>388618</c:v>
                </c:pt>
                <c:pt idx="2">
                  <c:v>329556</c:v>
                </c:pt>
                <c:pt idx="3">
                  <c:v>358842</c:v>
                </c:pt>
                <c:pt idx="4">
                  <c:v>334479</c:v>
                </c:pt>
                <c:pt idx="5">
                  <c:v>333550</c:v>
                </c:pt>
                <c:pt idx="6">
                  <c:v>320256</c:v>
                </c:pt>
                <c:pt idx="7">
                  <c:v>344316</c:v>
                </c:pt>
                <c:pt idx="8">
                  <c:v>334051</c:v>
                </c:pt>
                <c:pt idx="9">
                  <c:v>358595</c:v>
                </c:pt>
                <c:pt idx="10">
                  <c:v>359058</c:v>
                </c:pt>
                <c:pt idx="11">
                  <c:v>382159</c:v>
                </c:pt>
                <c:pt idx="12">
                  <c:v>394695</c:v>
                </c:pt>
                <c:pt idx="13">
                  <c:v>374678</c:v>
                </c:pt>
                <c:pt idx="14">
                  <c:v>382046</c:v>
                </c:pt>
                <c:pt idx="15">
                  <c:v>398192</c:v>
                </c:pt>
                <c:pt idx="16">
                  <c:v>375888</c:v>
                </c:pt>
                <c:pt idx="17">
                  <c:v>413132</c:v>
                </c:pt>
                <c:pt idx="18">
                  <c:v>404512</c:v>
                </c:pt>
                <c:pt idx="19">
                  <c:v>401954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8B6-4273-A0C5-BEE56B02D76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132700416"/>
        <c:axId val="132702592"/>
      </c:barChart>
      <c:catAx>
        <c:axId val="13270041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Quarter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32702592"/>
        <c:crosses val="autoZero"/>
        <c:auto val="1"/>
        <c:lblAlgn val="ctr"/>
        <c:lblOffset val="100"/>
        <c:noMultiLvlLbl val="0"/>
      </c:catAx>
      <c:valAx>
        <c:axId val="132702592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Determinations</a:t>
                </a:r>
              </a:p>
            </c:rich>
          </c:tx>
          <c:overlay val="0"/>
        </c:title>
        <c:numFmt formatCode="#,##0" sourceLinked="1"/>
        <c:majorTickMark val="none"/>
        <c:minorTickMark val="none"/>
        <c:tickLblPos val="nextTo"/>
        <c:spPr>
          <a:ln w="9525">
            <a:noFill/>
          </a:ln>
        </c:spPr>
        <c:crossAx val="132700416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</a:t>
            </a:r>
            <a:r>
              <a:rPr lang="en-US" sz="1400" baseline="0"/>
              <a:t> Nonseparation Determinations </a:t>
            </a:r>
          </a:p>
          <a:p>
            <a:pPr>
              <a:defRPr sz="1400"/>
            </a:pPr>
            <a:r>
              <a:rPr lang="en-US" sz="1400" baseline="0"/>
              <a:t>by Quarter</a:t>
            </a:r>
            <a:endParaRPr lang="en-US" sz="1400"/>
          </a:p>
        </c:rich>
      </c:tx>
      <c:overlay val="0"/>
    </c:title>
    <c:autoTitleDeleted val="0"/>
    <c:plotArea>
      <c:layout/>
      <c:barChart>
        <c:barDir val="col"/>
        <c:grouping val="stacked"/>
        <c:varyColors val="0"/>
        <c:ser>
          <c:idx val="1"/>
          <c:order val="0"/>
          <c:tx>
            <c:strRef>
              <c:f>Workload_ar207!$B$54</c:f>
              <c:strCache>
                <c:ptCount val="1"/>
                <c:pt idx="0">
                  <c:v>Denials</c:v>
                </c:pt>
              </c:strCache>
            </c:strRef>
          </c:tx>
          <c:invertIfNegative val="0"/>
          <c:cat>
            <c:numRef>
              <c:f>Workload_ar207!$A$55:$A$74</c:f>
              <c:numCache>
                <c:formatCode>General</c:formatCode>
                <c:ptCount val="20"/>
                <c:pt idx="0">
                  <c:v>2020.2</c:v>
                </c:pt>
                <c:pt idx="1">
                  <c:v>2020.3</c:v>
                </c:pt>
                <c:pt idx="2">
                  <c:v>2020.4</c:v>
                </c:pt>
                <c:pt idx="3" formatCode="0.0">
                  <c:v>2021.1</c:v>
                </c:pt>
                <c:pt idx="4" formatCode="0.0">
                  <c:v>2021.2</c:v>
                </c:pt>
                <c:pt idx="5" formatCode="0.0">
                  <c:v>2021.3</c:v>
                </c:pt>
                <c:pt idx="6" formatCode="0.0">
                  <c:v>2021.4</c:v>
                </c:pt>
                <c:pt idx="7" formatCode="0.0">
                  <c:v>2022.1</c:v>
                </c:pt>
                <c:pt idx="8" formatCode="0.0">
                  <c:v>2022.2</c:v>
                </c:pt>
                <c:pt idx="9" formatCode="0.0">
                  <c:v>2022.3</c:v>
                </c:pt>
                <c:pt idx="10" formatCode="0.0">
                  <c:v>2022.4</c:v>
                </c:pt>
                <c:pt idx="11" formatCode="0.0">
                  <c:v>2023.1</c:v>
                </c:pt>
                <c:pt idx="12" formatCode="0.0">
                  <c:v>2023.2</c:v>
                </c:pt>
                <c:pt idx="13" formatCode="0.0">
                  <c:v>2023.3</c:v>
                </c:pt>
                <c:pt idx="14" formatCode="0.0">
                  <c:v>2023.4</c:v>
                </c:pt>
                <c:pt idx="15" formatCode="0.0">
                  <c:v>2024.1</c:v>
                </c:pt>
                <c:pt idx="16" formatCode="0.0">
                  <c:v>2024.2</c:v>
                </c:pt>
                <c:pt idx="17" formatCode="0.0">
                  <c:v>2024.3</c:v>
                </c:pt>
                <c:pt idx="18" formatCode="0.0">
                  <c:v>2024.4</c:v>
                </c:pt>
                <c:pt idx="19" formatCode="0.0">
                  <c:v>2025.1</c:v>
                </c:pt>
              </c:numCache>
            </c:numRef>
          </c:cat>
          <c:val>
            <c:numRef>
              <c:f>Workload_ar207!$B$55:$B$74</c:f>
              <c:numCache>
                <c:formatCode>#,##0</c:formatCode>
                <c:ptCount val="20"/>
                <c:pt idx="0">
                  <c:v>1234005</c:v>
                </c:pt>
                <c:pt idx="1">
                  <c:v>1335246</c:v>
                </c:pt>
                <c:pt idx="2">
                  <c:v>1387886</c:v>
                </c:pt>
                <c:pt idx="3">
                  <c:v>1214663</c:v>
                </c:pt>
                <c:pt idx="4">
                  <c:v>1575046</c:v>
                </c:pt>
                <c:pt idx="5">
                  <c:v>1607173</c:v>
                </c:pt>
                <c:pt idx="6">
                  <c:v>1275241</c:v>
                </c:pt>
                <c:pt idx="7">
                  <c:v>1248481</c:v>
                </c:pt>
                <c:pt idx="8">
                  <c:v>910187</c:v>
                </c:pt>
                <c:pt idx="9">
                  <c:v>932287</c:v>
                </c:pt>
                <c:pt idx="10">
                  <c:v>812714</c:v>
                </c:pt>
                <c:pt idx="11">
                  <c:v>920328</c:v>
                </c:pt>
                <c:pt idx="12">
                  <c:v>872288</c:v>
                </c:pt>
                <c:pt idx="13">
                  <c:v>841230</c:v>
                </c:pt>
                <c:pt idx="14">
                  <c:v>834961</c:v>
                </c:pt>
                <c:pt idx="15">
                  <c:v>1029595</c:v>
                </c:pt>
                <c:pt idx="16">
                  <c:v>816093</c:v>
                </c:pt>
                <c:pt idx="17">
                  <c:v>927819</c:v>
                </c:pt>
                <c:pt idx="18">
                  <c:v>825916</c:v>
                </c:pt>
                <c:pt idx="19">
                  <c:v>872239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40F-4B5E-A223-FCEED776E37C}"/>
            </c:ext>
          </c:extLst>
        </c:ser>
        <c:ser>
          <c:idx val="2"/>
          <c:order val="1"/>
          <c:tx>
            <c:strRef>
              <c:f>Workload_ar207!$C$54</c:f>
              <c:strCache>
                <c:ptCount val="1"/>
                <c:pt idx="0">
                  <c:v>Eligibles</c:v>
                </c:pt>
              </c:strCache>
            </c:strRef>
          </c:tx>
          <c:invertIfNegative val="0"/>
          <c:cat>
            <c:numRef>
              <c:f>Workload_ar207!$A$55:$A$74</c:f>
              <c:numCache>
                <c:formatCode>General</c:formatCode>
                <c:ptCount val="20"/>
                <c:pt idx="0">
                  <c:v>2020.2</c:v>
                </c:pt>
                <c:pt idx="1">
                  <c:v>2020.3</c:v>
                </c:pt>
                <c:pt idx="2">
                  <c:v>2020.4</c:v>
                </c:pt>
                <c:pt idx="3" formatCode="0.0">
                  <c:v>2021.1</c:v>
                </c:pt>
                <c:pt idx="4" formatCode="0.0">
                  <c:v>2021.2</c:v>
                </c:pt>
                <c:pt idx="5" formatCode="0.0">
                  <c:v>2021.3</c:v>
                </c:pt>
                <c:pt idx="6" formatCode="0.0">
                  <c:v>2021.4</c:v>
                </c:pt>
                <c:pt idx="7" formatCode="0.0">
                  <c:v>2022.1</c:v>
                </c:pt>
                <c:pt idx="8" formatCode="0.0">
                  <c:v>2022.2</c:v>
                </c:pt>
                <c:pt idx="9" formatCode="0.0">
                  <c:v>2022.3</c:v>
                </c:pt>
                <c:pt idx="10" formatCode="0.0">
                  <c:v>2022.4</c:v>
                </c:pt>
                <c:pt idx="11" formatCode="0.0">
                  <c:v>2023.1</c:v>
                </c:pt>
                <c:pt idx="12" formatCode="0.0">
                  <c:v>2023.2</c:v>
                </c:pt>
                <c:pt idx="13" formatCode="0.0">
                  <c:v>2023.3</c:v>
                </c:pt>
                <c:pt idx="14" formatCode="0.0">
                  <c:v>2023.4</c:v>
                </c:pt>
                <c:pt idx="15" formatCode="0.0">
                  <c:v>2024.1</c:v>
                </c:pt>
                <c:pt idx="16" formatCode="0.0">
                  <c:v>2024.2</c:v>
                </c:pt>
                <c:pt idx="17" formatCode="0.0">
                  <c:v>2024.3</c:v>
                </c:pt>
                <c:pt idx="18" formatCode="0.0">
                  <c:v>2024.4</c:v>
                </c:pt>
                <c:pt idx="19" formatCode="0.0">
                  <c:v>2025.1</c:v>
                </c:pt>
              </c:numCache>
            </c:numRef>
          </c:cat>
          <c:val>
            <c:numRef>
              <c:f>Workload_ar207!$C$55:$C$74</c:f>
              <c:numCache>
                <c:formatCode>#,##0</c:formatCode>
                <c:ptCount val="20"/>
                <c:pt idx="0">
                  <c:v>343909</c:v>
                </c:pt>
                <c:pt idx="1">
                  <c:v>219280</c:v>
                </c:pt>
                <c:pt idx="2">
                  <c:v>132191</c:v>
                </c:pt>
                <c:pt idx="3">
                  <c:v>148503</c:v>
                </c:pt>
                <c:pt idx="4">
                  <c:v>161703</c:v>
                </c:pt>
                <c:pt idx="5">
                  <c:v>152486</c:v>
                </c:pt>
                <c:pt idx="6">
                  <c:v>124218</c:v>
                </c:pt>
                <c:pt idx="7">
                  <c:v>150664</c:v>
                </c:pt>
                <c:pt idx="8">
                  <c:v>189018</c:v>
                </c:pt>
                <c:pt idx="9">
                  <c:v>121646</c:v>
                </c:pt>
                <c:pt idx="10">
                  <c:v>92761</c:v>
                </c:pt>
                <c:pt idx="11">
                  <c:v>131180</c:v>
                </c:pt>
                <c:pt idx="12">
                  <c:v>118728</c:v>
                </c:pt>
                <c:pt idx="13">
                  <c:v>118784</c:v>
                </c:pt>
                <c:pt idx="14">
                  <c:v>113006</c:v>
                </c:pt>
                <c:pt idx="15">
                  <c:v>133742</c:v>
                </c:pt>
                <c:pt idx="16">
                  <c:v>125967</c:v>
                </c:pt>
                <c:pt idx="17">
                  <c:v>130623</c:v>
                </c:pt>
                <c:pt idx="18">
                  <c:v>119933</c:v>
                </c:pt>
                <c:pt idx="19">
                  <c:v>143989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40F-4B5E-A223-FCEED776E3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137315840"/>
        <c:axId val="137317760"/>
      </c:barChart>
      <c:catAx>
        <c:axId val="13731584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Quarter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37317760"/>
        <c:crosses val="autoZero"/>
        <c:auto val="1"/>
        <c:lblAlgn val="ctr"/>
        <c:lblOffset val="100"/>
        <c:noMultiLvlLbl val="0"/>
      </c:catAx>
      <c:valAx>
        <c:axId val="137317760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Determinations</a:t>
                </a:r>
              </a:p>
            </c:rich>
          </c:tx>
          <c:overlay val="0"/>
        </c:title>
        <c:numFmt formatCode="#,##0" sourceLinked="1"/>
        <c:majorTickMark val="none"/>
        <c:minorTickMark val="none"/>
        <c:tickLblPos val="nextTo"/>
        <c:spPr>
          <a:ln w="9525">
            <a:noFill/>
          </a:ln>
        </c:spPr>
        <c:crossAx val="137315840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Separation Determinations Issues</a:t>
            </a:r>
          </a:p>
          <a:p>
            <a:pPr>
              <a:defRPr sz="1400"/>
            </a:pPr>
            <a:r>
              <a:rPr lang="en-US" sz="1400"/>
              <a:t>1st Quarter 2025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-0.11409419779586194"/>
                  <c:y val="8.253047851029649E-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 sz="1200"/>
                    </a:pPr>
                    <a:r>
                      <a:rPr lang="en-US"/>
                      <a:t>29.0%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8465022305135695E-2"/>
                      <c:h val="5.7352922201772578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0-B429-4926-A257-53806B77309A}"/>
                </c:ext>
              </c:extLst>
            </c:dLbl>
            <c:dLbl>
              <c:idx val="1"/>
              <c:layout>
                <c:manualLayout>
                  <c:x val="0.11963287512364319"/>
                  <c:y val="-0.1421034400504731"/>
                </c:manualLayout>
              </c:layout>
              <c:tx>
                <c:rich>
                  <a:bodyPr/>
                  <a:lstStyle/>
                  <a:p>
                    <a:pPr>
                      <a:defRPr sz="1200"/>
                    </a:pPr>
                    <a:r>
                      <a:rPr lang="en-US"/>
                      <a:t>71.0%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B429-4926-A257-53806B77309A}"/>
                </c:ext>
              </c:extLst>
            </c:dLbl>
            <c:dLbl>
              <c:idx val="2"/>
              <c:layout>
                <c:manualLayout>
                  <c:x val="5.7807309735695596E-3"/>
                  <c:y val="3.225127141944277E-2"/>
                </c:manualLayout>
              </c:layout>
              <c:tx>
                <c:rich>
                  <a:bodyPr/>
                  <a:lstStyle/>
                  <a:p>
                    <a:pPr>
                      <a:defRPr sz="1200"/>
                    </a:pPr>
                    <a:r>
                      <a:rPr lang="en-US"/>
                      <a:t>0.1%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0194937231937607E-2"/>
                      <c:h val="8.9750847035384426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2-B429-4926-A257-53806B77309A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Workload_ar207!$B$80:$D$80</c:f>
              <c:strCache>
                <c:ptCount val="3"/>
                <c:pt idx="0">
                  <c:v>Voluntary Leave</c:v>
                </c:pt>
                <c:pt idx="1">
                  <c:v>Discharge</c:v>
                </c:pt>
                <c:pt idx="2">
                  <c:v>Other</c:v>
                </c:pt>
              </c:strCache>
            </c:strRef>
          </c:cat>
          <c:val>
            <c:numRef>
              <c:f>Workload_ar207!$B$81:$D$81</c:f>
              <c:numCache>
                <c:formatCode>#,##0</c:formatCode>
                <c:ptCount val="3"/>
                <c:pt idx="0">
                  <c:v>215333</c:v>
                </c:pt>
                <c:pt idx="1">
                  <c:v>527868</c:v>
                </c:pt>
                <c:pt idx="2">
                  <c:v>584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429-4926-A257-53806B77309A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Separation Denials Issues</a:t>
            </a:r>
          </a:p>
          <a:p>
            <a:pPr>
              <a:defRPr sz="1400"/>
            </a:pPr>
            <a:r>
              <a:rPr lang="en-US" sz="1400"/>
              <a:t>1st Quarter 2025</a:t>
            </a:r>
          </a:p>
        </c:rich>
      </c:tx>
      <c:overlay val="0"/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Workload_ar207!$B$106</c:f>
              <c:strCache>
                <c:ptCount val="1"/>
                <c:pt idx="0">
                  <c:v>eligibles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Workload_ar207!$A$107:$A$109</c:f>
              <c:strCache>
                <c:ptCount val="3"/>
                <c:pt idx="0">
                  <c:v>Voluntary Leaving</c:v>
                </c:pt>
                <c:pt idx="1">
                  <c:v>Discharge</c:v>
                </c:pt>
                <c:pt idx="2">
                  <c:v>Other</c:v>
                </c:pt>
              </c:strCache>
            </c:strRef>
          </c:cat>
          <c:val>
            <c:numRef>
              <c:f>Workload_ar207!$B$107:$B$109</c:f>
              <c:numCache>
                <c:formatCode>0.00%</c:formatCode>
                <c:ptCount val="3"/>
                <c:pt idx="0">
                  <c:v>0.22545081339135201</c:v>
                </c:pt>
                <c:pt idx="1">
                  <c:v>0.66875809861556301</c:v>
                </c:pt>
                <c:pt idx="2">
                  <c:v>0.66952054794520544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4A0-472A-8C73-34F82D558F29}"/>
            </c:ext>
          </c:extLst>
        </c:ser>
        <c:ser>
          <c:idx val="1"/>
          <c:order val="1"/>
          <c:tx>
            <c:strRef>
              <c:f>Workload_ar207!$C$106</c:f>
              <c:strCache>
                <c:ptCount val="1"/>
                <c:pt idx="0">
                  <c:v>denials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Workload_ar207!$A$107:$A$109</c:f>
              <c:strCache>
                <c:ptCount val="3"/>
                <c:pt idx="0">
                  <c:v>Voluntary Leaving</c:v>
                </c:pt>
                <c:pt idx="1">
                  <c:v>Discharge</c:v>
                </c:pt>
                <c:pt idx="2">
                  <c:v>Other</c:v>
                </c:pt>
              </c:strCache>
            </c:strRef>
          </c:cat>
          <c:val>
            <c:numRef>
              <c:f>Workload_ar207!$C$107:$C$109</c:f>
              <c:numCache>
                <c:formatCode>0.00%</c:formatCode>
                <c:ptCount val="3"/>
                <c:pt idx="0">
                  <c:v>0.77454918660864802</c:v>
                </c:pt>
                <c:pt idx="1">
                  <c:v>0.33124190138443704</c:v>
                </c:pt>
                <c:pt idx="2">
                  <c:v>0.33047945205479451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4A0-472A-8C73-34F82D558F29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100"/>
        <c:axId val="138093696"/>
        <c:axId val="138095232"/>
      </c:barChart>
      <c:catAx>
        <c:axId val="138093696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138095232"/>
        <c:crosses val="autoZero"/>
        <c:auto val="1"/>
        <c:lblAlgn val="ctr"/>
        <c:lblOffset val="100"/>
        <c:noMultiLvlLbl val="0"/>
      </c:catAx>
      <c:valAx>
        <c:axId val="138095232"/>
        <c:scaling>
          <c:orientation val="minMax"/>
          <c:max val="1"/>
        </c:scaling>
        <c:delete val="0"/>
        <c:axPos val="b"/>
        <c:majorGridlines>
          <c:spPr>
            <a:ln>
              <a:solidFill>
                <a:schemeClr val="accent1"/>
              </a:solidFill>
            </a:ln>
          </c:spPr>
        </c:majorGridlines>
        <c:numFmt formatCode="0%" sourceLinked="0"/>
        <c:majorTickMark val="none"/>
        <c:minorTickMark val="none"/>
        <c:tickLblPos val="nextTo"/>
        <c:spPr>
          <a:ln w="9525">
            <a:noFill/>
          </a:ln>
        </c:spPr>
        <c:crossAx val="138093696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Nonseparation Determinations Issues</a:t>
            </a:r>
          </a:p>
          <a:p>
            <a:pPr>
              <a:defRPr sz="1400"/>
            </a:pPr>
            <a:r>
              <a:rPr lang="en-US" sz="1400"/>
              <a:t>1st Quarter 2025</a:t>
            </a:r>
          </a:p>
        </c:rich>
      </c:tx>
      <c:overlay val="0"/>
    </c:title>
    <c:autoTitleDeleted val="0"/>
    <c:view3D>
      <c:rotX val="25"/>
      <c:rotY val="0"/>
      <c:depthPercent val="2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4778778415475796"/>
          <c:y val="0.27696707672814108"/>
          <c:w val="0.80297926916006623"/>
          <c:h val="0.6050402055180768"/>
        </c:manualLayout>
      </c:layout>
      <c:pie3DChart>
        <c:varyColors val="1"/>
        <c:ser>
          <c:idx val="0"/>
          <c:order val="0"/>
          <c:dPt>
            <c:idx val="1"/>
            <c:bubble3D val="0"/>
            <c:spPr>
              <a:solidFill>
                <a:srgbClr val="C00000"/>
              </a:solidFill>
            </c:spPr>
            <c:extLst>
              <c:ext xmlns:c16="http://schemas.microsoft.com/office/drawing/2014/chart" uri="{C3380CC4-5D6E-409C-BE32-E72D297353CC}">
                <c16:uniqueId val="{00000001-1C6B-4FBF-B63B-34A58495FEB7}"/>
              </c:ext>
            </c:extLst>
          </c:dPt>
          <c:dLbls>
            <c:dLbl>
              <c:idx val="0"/>
              <c:layout>
                <c:manualLayout>
                  <c:x val="-1.3266997351674522E-2"/>
                  <c:y val="-0.13059866190466241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1C6B-4FBF-B63B-34A58495FEB7}"/>
                </c:ext>
              </c:extLst>
            </c:dLbl>
            <c:dLbl>
              <c:idx val="1"/>
              <c:layout>
                <c:manualLayout>
                  <c:x val="7.0011663465363444E-2"/>
                  <c:y val="-6.8613257841634551E-2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6822277542257644"/>
                      <c:h val="0.16664097600273345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1C6B-4FBF-B63B-34A58495FEB7}"/>
                </c:ext>
              </c:extLst>
            </c:dLbl>
            <c:dLbl>
              <c:idx val="2"/>
              <c:layout>
                <c:manualLayout>
                  <c:x val="-2.5051312485317764E-2"/>
                  <c:y val="8.5790472117802719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C6B-4FBF-B63B-34A58495FEB7}"/>
                </c:ext>
              </c:extLst>
            </c:dLbl>
            <c:dLbl>
              <c:idx val="3"/>
              <c:layout>
                <c:manualLayout>
                  <c:x val="-2.754953932627531E-2"/>
                  <c:y val="1.757736516357206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C6B-4FBF-B63B-34A58495FEB7}"/>
                </c:ext>
              </c:extLst>
            </c:dLbl>
            <c:dLbl>
              <c:idx val="4"/>
              <c:layout>
                <c:manualLayout>
                  <c:x val="-3.7832059214086361E-2"/>
                  <c:y val="2.9551438696157676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C6B-4FBF-B63B-34A58495FEB7}"/>
                </c:ext>
              </c:extLst>
            </c:dLbl>
            <c:dLbl>
              <c:idx val="5"/>
              <c:layout>
                <c:manualLayout>
                  <c:x val="-1.9462714961919689E-2"/>
                  <c:y val="-2.9367393489314192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1C6B-4FBF-B63B-34A58495FEB7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dLblPos val="bestFit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Workload_ar207!$A$122:$A$127</c:f>
              <c:strCache>
                <c:ptCount val="6"/>
                <c:pt idx="0">
                  <c:v>Able, Available, Actively Seeking</c:v>
                </c:pt>
                <c:pt idx="1">
                  <c:v>Disqualifying/Deductible Income</c:v>
                </c:pt>
                <c:pt idx="2">
                  <c:v>Refusal of Suitable Work</c:v>
                </c:pt>
                <c:pt idx="3">
                  <c:v>Reporting Requirement Call-ins and Other</c:v>
                </c:pt>
                <c:pt idx="4">
                  <c:v>Refusal Profiling Referrals</c:v>
                </c:pt>
                <c:pt idx="5">
                  <c:v>Other(Aliens, Athlete School)</c:v>
                </c:pt>
              </c:strCache>
            </c:strRef>
          </c:cat>
          <c:val>
            <c:numRef>
              <c:f>Workload_ar207!$B$122:$B$127</c:f>
              <c:numCache>
                <c:formatCode>#,##0</c:formatCode>
                <c:ptCount val="6"/>
                <c:pt idx="0">
                  <c:v>352526</c:v>
                </c:pt>
                <c:pt idx="1">
                  <c:v>103983</c:v>
                </c:pt>
                <c:pt idx="2">
                  <c:v>6259</c:v>
                </c:pt>
                <c:pt idx="3">
                  <c:v>383753</c:v>
                </c:pt>
                <c:pt idx="4">
                  <c:v>21570</c:v>
                </c:pt>
                <c:pt idx="5">
                  <c:v>148137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1C6B-4FBF-B63B-34A58495FEB7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Nonseparation Denials Issues</a:t>
            </a:r>
          </a:p>
          <a:p>
            <a:pPr>
              <a:defRPr sz="1400"/>
            </a:pPr>
            <a:r>
              <a:rPr lang="en-US" sz="1400"/>
              <a:t>1st Quarter 2025</a:t>
            </a:r>
          </a:p>
        </c:rich>
      </c:tx>
      <c:overlay val="0"/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Workload_ar207!$B$149</c:f>
              <c:strCache>
                <c:ptCount val="1"/>
                <c:pt idx="0">
                  <c:v>Eligibles</c:v>
                </c:pt>
              </c:strCache>
            </c:strRef>
          </c:tx>
          <c:invertIfNegative val="0"/>
          <c:dLbls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F27-428E-90BF-77B87E98F4BB}"/>
                </c:ext>
              </c:extLst>
            </c:dLbl>
            <c:dLbl>
              <c:idx val="3"/>
              <c:layout>
                <c:manualLayout>
                  <c:x val="7.5811413438140124E-3"/>
                  <c:y val="-3.4572159992334235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F27-428E-90BF-77B87E98F4BB}"/>
                </c:ext>
              </c:extLst>
            </c:dLbl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Workload_ar207!$A$150:$A$155</c:f>
              <c:strCache>
                <c:ptCount val="6"/>
                <c:pt idx="0">
                  <c:v>Able, Available, Actively Seeking</c:v>
                </c:pt>
                <c:pt idx="1">
                  <c:v>Disqualifying/Deductible Income</c:v>
                </c:pt>
                <c:pt idx="2">
                  <c:v>Refusal of Suitable Work</c:v>
                </c:pt>
                <c:pt idx="3">
                  <c:v>Reporting Requirement Call-ins and Other</c:v>
                </c:pt>
                <c:pt idx="4">
                  <c:v>Refusal Profiling Referrals</c:v>
                </c:pt>
                <c:pt idx="5">
                  <c:v>Other(Aliens, Athlete School)</c:v>
                </c:pt>
              </c:strCache>
            </c:strRef>
          </c:cat>
          <c:val>
            <c:numRef>
              <c:f>Workload_ar207!$B$150:$B$155</c:f>
              <c:numCache>
                <c:formatCode>0.0%</c:formatCode>
                <c:ptCount val="6"/>
                <c:pt idx="0">
                  <c:v>0.13674168713796997</c:v>
                </c:pt>
                <c:pt idx="1">
                  <c:v>0</c:v>
                </c:pt>
                <c:pt idx="2">
                  <c:v>0.68669116472279912</c:v>
                </c:pt>
                <c:pt idx="3">
                  <c:v>0.10507540006201906</c:v>
                </c:pt>
                <c:pt idx="4">
                  <c:v>0.14700973574408902</c:v>
                </c:pt>
                <c:pt idx="5">
                  <c:v>0.18809615423560622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F27-428E-90BF-77B87E98F4BB}"/>
            </c:ext>
          </c:extLst>
        </c:ser>
        <c:ser>
          <c:idx val="1"/>
          <c:order val="1"/>
          <c:tx>
            <c:strRef>
              <c:f>Workload_ar207!$C$149</c:f>
              <c:strCache>
                <c:ptCount val="1"/>
                <c:pt idx="0">
                  <c:v>Denial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Workload_ar207!$A$150:$A$155</c:f>
              <c:strCache>
                <c:ptCount val="6"/>
                <c:pt idx="0">
                  <c:v>Able, Available, Actively Seeking</c:v>
                </c:pt>
                <c:pt idx="1">
                  <c:v>Disqualifying/Deductible Income</c:v>
                </c:pt>
                <c:pt idx="2">
                  <c:v>Refusal of Suitable Work</c:v>
                </c:pt>
                <c:pt idx="3">
                  <c:v>Reporting Requirement Call-ins and Other</c:v>
                </c:pt>
                <c:pt idx="4">
                  <c:v>Refusal Profiling Referrals</c:v>
                </c:pt>
                <c:pt idx="5">
                  <c:v>Other(Aliens, Athlete School)</c:v>
                </c:pt>
              </c:strCache>
            </c:strRef>
          </c:cat>
          <c:val>
            <c:numRef>
              <c:f>Workload_ar207!$C$150:$C$155</c:f>
              <c:numCache>
                <c:formatCode>0.0%</c:formatCode>
                <c:ptCount val="6"/>
                <c:pt idx="0">
                  <c:v>0.86325831286203003</c:v>
                </c:pt>
                <c:pt idx="1">
                  <c:v>1</c:v>
                </c:pt>
                <c:pt idx="2">
                  <c:v>0.31330883527720083</c:v>
                </c:pt>
                <c:pt idx="3">
                  <c:v>0.8949245999379809</c:v>
                </c:pt>
                <c:pt idx="4">
                  <c:v>0.85299026425591096</c:v>
                </c:pt>
                <c:pt idx="5">
                  <c:v>0.81190384576439378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F27-428E-90BF-77B87E98F4BB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55"/>
        <c:overlap val="100"/>
        <c:axId val="138140672"/>
        <c:axId val="138158848"/>
      </c:barChart>
      <c:catAx>
        <c:axId val="138140672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138158848"/>
        <c:crosses val="autoZero"/>
        <c:auto val="1"/>
        <c:lblAlgn val="ctr"/>
        <c:lblOffset val="100"/>
        <c:noMultiLvlLbl val="0"/>
      </c:catAx>
      <c:valAx>
        <c:axId val="138158848"/>
        <c:scaling>
          <c:orientation val="minMax"/>
          <c:max val="1"/>
        </c:scaling>
        <c:delete val="0"/>
        <c:axPos val="b"/>
        <c:majorGridlines/>
        <c:numFmt formatCode="0%" sourceLinked="0"/>
        <c:majorTickMark val="out"/>
        <c:minorTickMark val="none"/>
        <c:tickLblPos val="nextTo"/>
        <c:crossAx val="138140672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DE97AC4-A397-4DD2-804E-6306BF110769}"/>
</file>

<file path=customXml/itemProps2.xml><?xml version="1.0" encoding="utf-8"?>
<ds:datastoreItem xmlns:ds="http://schemas.openxmlformats.org/officeDocument/2006/customXml" ds:itemID="{48679017-BF26-4B01-B919-79693F7DC370}"/>
</file>

<file path=customXml/itemProps3.xml><?xml version="1.0" encoding="utf-8"?>
<ds:datastoreItem xmlns:ds="http://schemas.openxmlformats.org/officeDocument/2006/customXml" ds:itemID="{DCBFEFC5-2597-4D00-98D5-D844D566C09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Labor</Company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Rodall, Valerie - ETA</dc:creator>
  <cp:keywords/>
  <dc:description/>
  <cp:lastModifiedBy>Rodall, Valerie - ETA</cp:lastModifiedBy>
  <cp:revision>3</cp:revision>
  <dcterms:created xsi:type="dcterms:W3CDTF">2025-08-22T15:21:00Z</dcterms:created>
  <dcterms:modified xsi:type="dcterms:W3CDTF">2025-08-22T18:16:00Z</dcterms:modified>
</cp:coreProperties>
</file>